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附件1：</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843" w:firstLineChars="300"/>
        <w:textAlignment w:val="auto"/>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项目名称：真菌蛋白实验室空调采购项目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预算金额：￥</w:t>
      </w:r>
      <w:r>
        <w:rPr>
          <w:rFonts w:hint="eastAsia" w:ascii="宋体" w:hAnsi="宋体" w:eastAsia="宋体" w:cs="宋体"/>
          <w:sz w:val="24"/>
          <w:szCs w:val="24"/>
          <w:highlight w:val="none"/>
          <w:u w:val="single"/>
          <w:lang w:val="en-US" w:eastAsia="zh-CN"/>
        </w:rPr>
        <w:t>270,000.00</w:t>
      </w:r>
      <w:r>
        <w:rPr>
          <w:rFonts w:hint="eastAsia" w:ascii="宋体" w:hAnsi="宋体" w:eastAsia="宋体" w:cs="宋体"/>
          <w:sz w:val="24"/>
          <w:szCs w:val="24"/>
          <w:highlight w:val="none"/>
          <w:lang w:eastAsia="zh-CN"/>
        </w:rPr>
        <w:t>元；最高限价：￥</w:t>
      </w:r>
      <w:r>
        <w:rPr>
          <w:rFonts w:hint="eastAsia" w:ascii="宋体" w:hAnsi="宋体" w:eastAsia="宋体" w:cs="宋体"/>
          <w:sz w:val="24"/>
          <w:szCs w:val="24"/>
          <w:highlight w:val="none"/>
          <w:u w:val="single"/>
          <w:lang w:val="en-US" w:eastAsia="zh-CN"/>
        </w:rPr>
        <w:t>270,000.00</w:t>
      </w:r>
      <w:r>
        <w:rPr>
          <w:rFonts w:hint="eastAsia" w:ascii="宋体" w:hAnsi="宋体" w:eastAsia="宋体" w:cs="宋体"/>
          <w:sz w:val="24"/>
          <w:szCs w:val="24"/>
          <w:highlight w:val="none"/>
          <w:lang w:eastAsia="zh-CN"/>
        </w:rPr>
        <w:t>元</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eastAsia="zh-CN"/>
        </w:rPr>
        <w:t>报价超过限价无效。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采购内容：多联机中央空调系统（室外主机 + 多台室内机），包含机组、冷媒铜管、保温、冷凝水管、控制线、支架、减震、线管、空开、面板控制器、吊装、运输、吊装、调试、检漏、抽真空、充注冷媒、竣工资料、操作培训、质保维保等全部内容，总价包干，采购单位不再支付任何额外费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交货安装地点：福建师范大学泉港石化研究院真菌蛋白实验室（采购单位指定点位）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合同履行期限：合同签订后</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lang w:eastAsia="zh-CN"/>
        </w:rPr>
        <w:t>日历天内完成到货、安装、系统调试、竣工验收。逾期视为违约。</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843" w:firstLineChars="300"/>
        <w:textAlignment w:val="auto"/>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二、供应商资格要求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满足《政府采购法》第二十二条，独立法人，营业执照有效；</w:t>
      </w:r>
      <w:r>
        <w:rPr>
          <w:rFonts w:hint="eastAsia" w:ascii="宋体" w:hAnsi="宋体" w:eastAsia="宋体" w:cs="宋体"/>
          <w:sz w:val="24"/>
          <w:highlight w:val="none"/>
        </w:rPr>
        <w:t>提供经审计的上一年度的年度财务报告或资信证明</w:t>
      </w:r>
      <w:r>
        <w:rPr>
          <w:rFonts w:hint="eastAsia" w:ascii="宋体" w:hAnsi="宋体" w:eastAsia="宋体" w:cs="宋体"/>
          <w:sz w:val="24"/>
          <w:highlight w:val="none"/>
          <w:lang w:eastAsia="zh-CN"/>
        </w:rPr>
        <w:t>；</w:t>
      </w:r>
      <w:r>
        <w:rPr>
          <w:rFonts w:hint="eastAsia" w:ascii="宋体" w:hAnsi="宋体" w:eastAsia="宋体" w:cs="宋体"/>
          <w:sz w:val="24"/>
          <w:highlight w:val="none"/>
        </w:rPr>
        <w:t>依法缴纳税收证明材料</w:t>
      </w:r>
      <w:r>
        <w:rPr>
          <w:rFonts w:hint="eastAsia" w:ascii="宋体" w:hAnsi="宋体" w:eastAsia="宋体" w:cs="宋体"/>
          <w:sz w:val="24"/>
          <w:highlight w:val="none"/>
          <w:lang w:eastAsia="zh-CN"/>
        </w:rPr>
        <w:t>；</w:t>
      </w:r>
      <w:r>
        <w:rPr>
          <w:rFonts w:hint="eastAsia" w:ascii="宋体" w:hAnsi="宋体" w:eastAsia="宋体" w:cs="宋体"/>
          <w:sz w:val="24"/>
          <w:highlight w:val="none"/>
        </w:rPr>
        <w:t>依法缴纳社会保障资金证明材料</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信用查询：未列入信用中国、中国政府采购网失信被执行人、重大税收违法失信主体、政府采购严重违法失信名单。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trike/>
          <w:sz w:val="24"/>
          <w:szCs w:val="24"/>
          <w:highlight w:val="none"/>
          <w:lang w:eastAsia="zh-CN"/>
        </w:rPr>
      </w:pPr>
      <w:r>
        <w:rPr>
          <w:rFonts w:hint="eastAsia" w:ascii="宋体" w:hAnsi="宋体" w:eastAsia="宋体" w:cs="宋体"/>
          <w:strike w:val="0"/>
          <w:sz w:val="24"/>
          <w:szCs w:val="24"/>
          <w:highlight w:val="none"/>
          <w:lang w:val="en-US" w:eastAsia="zh-CN"/>
        </w:rPr>
        <w:t>3、具有</w:t>
      </w:r>
      <w:r>
        <w:rPr>
          <w:rFonts w:hint="eastAsia" w:ascii="宋体" w:hAnsi="宋体" w:eastAsia="宋体" w:cs="宋体"/>
          <w:sz w:val="24"/>
          <w:highlight w:val="none"/>
        </w:rPr>
        <w:t>建筑机电安装工程专业承包</w:t>
      </w:r>
      <w:r>
        <w:rPr>
          <w:rFonts w:hint="eastAsia" w:ascii="宋体" w:hAnsi="宋体" w:eastAsia="宋体" w:cs="宋体"/>
          <w:sz w:val="24"/>
          <w:highlight w:val="none"/>
          <w:lang w:eastAsia="zh-CN"/>
        </w:rPr>
        <w:t>资质证书及安全生产许可证。</w:t>
      </w:r>
      <w:r>
        <w:rPr>
          <w:rFonts w:hint="eastAsia" w:ascii="宋体" w:hAnsi="宋体" w:eastAsia="宋体" w:cs="宋体"/>
          <w:strike w:val="0"/>
          <w:sz w:val="24"/>
          <w:szCs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843" w:firstLineChars="300"/>
        <w:textAlignment w:val="auto"/>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三、技术需求</w:t>
      </w:r>
    </w:p>
    <w:p>
      <w:pPr>
        <w:jc w:val="left"/>
        <w:rPr>
          <w:rFonts w:hint="eastAsia" w:ascii="宋体" w:hAnsi="宋体" w:eastAsia="宋体" w:cs="宋体"/>
          <w:b/>
          <w:bCs/>
          <w:color w:val="000000" w:themeColor="text1"/>
          <w:sz w:val="24"/>
          <w:szCs w:val="24"/>
          <w:highlight w:val="none"/>
          <w:lang w:val="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lang w:val="zh-CN"/>
          <w14:textFill>
            <w14:solidFill>
              <w14:schemeClr w14:val="tx1"/>
            </w14:solidFill>
          </w14:textFill>
        </w:rPr>
        <w:t>、技术和服务要求(</w:t>
      </w:r>
      <w:r>
        <w:rPr>
          <w:rFonts w:hint="eastAsia" w:ascii="宋体" w:hAnsi="宋体" w:eastAsia="宋体" w:cs="宋体"/>
          <w:b w:val="0"/>
          <w:bCs w:val="0"/>
          <w:color w:val="000000" w:themeColor="text1"/>
          <w:sz w:val="24"/>
          <w:szCs w:val="24"/>
          <w:highlight w:val="none"/>
          <w:lang w:val="zh-CN" w:eastAsia="zh-CN"/>
          <w14:textFill>
            <w14:solidFill>
              <w14:schemeClr w14:val="tx1"/>
            </w14:solidFill>
          </w14:textFill>
        </w:rPr>
        <w:t>以下参数</w:t>
      </w:r>
      <w:r>
        <w:rPr>
          <w:rFonts w:hint="eastAsia" w:ascii="宋体" w:hAnsi="宋体" w:eastAsia="宋体" w:cs="宋体"/>
          <w:b w:val="0"/>
          <w:bCs w:val="0"/>
          <w:color w:val="000000" w:themeColor="text1"/>
          <w:sz w:val="24"/>
          <w:szCs w:val="24"/>
          <w:highlight w:val="none"/>
          <w:lang w:val="zh-CN"/>
          <w14:textFill>
            <w14:solidFill>
              <w14:schemeClr w14:val="tx1"/>
            </w14:solidFill>
          </w14:textFill>
        </w:rPr>
        <w:t>内容为不允许负偏离的实质性要求</w:t>
      </w:r>
      <w:r>
        <w:rPr>
          <w:rFonts w:hint="eastAsia" w:ascii="宋体" w:hAnsi="宋体" w:eastAsia="宋体" w:cs="宋体"/>
          <w:b/>
          <w:bCs/>
          <w:color w:val="000000" w:themeColor="text1"/>
          <w:sz w:val="24"/>
          <w:szCs w:val="24"/>
          <w:highlight w:val="none"/>
          <w:lang w:val="zh-CN"/>
          <w14:textFill>
            <w14:solidFill>
              <w14:schemeClr w14:val="tx1"/>
            </w14:solidFill>
          </w14:textFill>
        </w:rPr>
        <w:t>)</w:t>
      </w:r>
    </w:p>
    <w:p>
      <w:pPr>
        <w:jc w:val="left"/>
        <w:rPr>
          <w:rFonts w:hint="eastAsia" w:ascii="宋体" w:hAnsi="宋体" w:eastAsia="宋体" w:cs="宋体"/>
          <w:b/>
          <w:bCs/>
          <w:color w:val="000000" w:themeColor="text1"/>
          <w:sz w:val="24"/>
          <w:szCs w:val="24"/>
          <w:highlight w:val="none"/>
          <w:lang w:val="zh-CN"/>
          <w14:textFill>
            <w14:solidFill>
              <w14:schemeClr w14:val="tx1"/>
            </w14:solidFill>
          </w14:textFill>
        </w:rPr>
      </w:pPr>
    </w:p>
    <w:p>
      <w:pPr>
        <w:jc w:val="left"/>
        <w:rPr>
          <w:rFonts w:hint="eastAsia" w:ascii="宋体" w:hAnsi="宋体" w:eastAsia="宋体" w:cs="宋体"/>
          <w:b/>
          <w:bCs/>
          <w:color w:val="000000" w:themeColor="text1"/>
          <w:sz w:val="24"/>
          <w:szCs w:val="24"/>
          <w:highlight w:val="none"/>
          <w:lang w:val="zh-CN"/>
          <w14:textFill>
            <w14:solidFill>
              <w14:schemeClr w14:val="tx1"/>
            </w14:solidFill>
          </w14:textFill>
        </w:rPr>
      </w:pPr>
    </w:p>
    <w:p>
      <w:pPr>
        <w:jc w:val="left"/>
        <w:rPr>
          <w:rFonts w:hint="eastAsia" w:ascii="宋体" w:hAnsi="宋体" w:eastAsia="宋体" w:cs="宋体"/>
          <w:b/>
          <w:bCs/>
          <w:color w:val="000000" w:themeColor="text1"/>
          <w:sz w:val="24"/>
          <w:szCs w:val="24"/>
          <w:highlight w:val="none"/>
          <w:lang w:val="zh-CN"/>
          <w14:textFill>
            <w14:solidFill>
              <w14:schemeClr w14:val="tx1"/>
            </w14:solidFill>
          </w14:textFill>
        </w:rPr>
      </w:pPr>
    </w:p>
    <w:p>
      <w:pPr>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tbl>
      <w:tblPr>
        <w:tblStyle w:val="5"/>
        <w:tblW w:w="9690" w:type="dxa"/>
        <w:tblInd w:w="-54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1290"/>
        <w:gridCol w:w="6195"/>
        <w:gridCol w:w="750"/>
        <w:gridCol w:w="7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20" w:hRule="atLeast"/>
        </w:trPr>
        <w:tc>
          <w:tcPr>
            <w:tcW w:w="9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一、净化区域空调多联机</w:t>
            </w:r>
          </w:p>
        </w:tc>
      </w:tr>
      <w:tr>
        <w:tblPrEx>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技术参数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42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全直流变频主机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1、制冷量≥85KW，制热量≥95KW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2、制冷功率≤22.76 ，制热功率≤22.7</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3、IPLV(C)≥8.4 ， APF≥4.8</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4、循环风量(m³/h)≥29000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5、噪音值(dB(A))≤64，直流变频涡旋</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1、制冷量≥2.2KW ， 制热量≥2.6KW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2、额定电流(A)≤0.27 ， 额定功率(W)≤22</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3、循环风量(m³/h)≥420 ， 机外静压(Pa)≤30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4、噪音值(dB(A))≤28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1、制冷量≥2.5KW，制热量≥2.8KW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2、额定电流(A)≤0.33，额定功率(W)≤28</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3、循环风量(m³/h)≥460，机外静压(Pa)≤30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1、制冷量≥2.8KW，制热量≥3.2KW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2、额定电流(A)≤0.33，额定功率(W)≤28</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3、循环风量(m³/h)≥460 ，机外静压(Pa)≤30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1、制冷量≥4.0KW，制热量≥4.5KW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2、额定电流(A)≤0.47，额定功率(W)≤52</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3、循环风量(m³/h)≥700，机外静压(Pa)≤30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1、制冷量≥4.5KW，制热量≥5.0KW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2、额定电流(A)≤0.8，额定功率(W)≤80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3、循环风量(m³/h)≥790，机外静压(Pa)≤30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4、噪音值(dB(A))≤36.5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1、制冷量≥6.3KW，制热量≥7.1KW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2、额定电流(A)≤0.91，额定功率(W)≤103</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3、循环风量(m³/h)≥1100，机外静压(Pa)≤50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天花式内机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1、制冷量≥6.3KW，制热量≥7.1KW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2、额定电流(A)≤0.37，额定功率(W)≤39</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3、循环风量(m³/h)≥1000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天花式内机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1、制冷量≥9.0KW，制热量≥10KW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2、额定电流(A)≤0.45，额定功率(W)≤43</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3、循环风量(m³/h)≥1330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4、噪音值(dB(A))≤38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线控器</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空调控制面板</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2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全热交换器</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1、循环风量(m³/h)≥5000  机外余压(Pa)≥250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2、输入功率（KW)≤4.9 噪音值(dB(A))≤65</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3、制冷效率≥79％  制热效率≥80％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二、非净化区域壁挂空调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技术参数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1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十匹一拖二天花机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1、内机： 制冷量≥12.5KW，制热量≥14KW，额定电流(A)≤0.75，额定功率(KW)≤0.085，循环风量(m³/h)≥1730 ，噪音值(dB(A))≤44</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2、外机：制冷量≥25KW，制热量≥28KW，制冷功率≤8.2KW，制热功率≤7.85KW，APF≥4.8，循环风量(m³/h)≥11000，噪音值(dB(A))≤60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三匹挂机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1、APF值≥4.52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2、制冷量≥7360W，制热量≥10000W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3、额定制冷功率(W)≤1950 W，额定制热功率(W)≤2930 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4、制冷季节耗电量≤827/kW·h，制热季节耗电量≤726/kW·h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5、电辅热功率≥12000W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6、循环风量(m³/h)≥1400 m³/h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7、室内机噪音(dB(A))≤47</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8、含3米铜管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二匹挂机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1、APF值≥4.81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2、制冷量≥5060W ，制热量≥7260 W              3、额定制冷功率(W)≤ 1350 W， 额定制热功率(W)≤2000 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4、制冷季节耗电量≤553/kW·h，制热季节耗电量≤451/kW·h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5、电辅热功率≥850W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6、循环风量(m³/h)≥1100 m³/h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7、室内机噪音(dB(A))≤43</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8、含3米铜管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56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3匹一拖一天花机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1、APF值≥4.32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 xml:space="preserve">2、制冷量≥7500W，制热量≥9500 W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3、额定制冷功率(W)≤ 2600W，额定制热功率(W)≤3000 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4、制冷季节耗电量≤1229/kW·h，制热季节耗电量≤1388/kW·h</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5、电辅热功率≥2000W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6、循环风量(m³/h)≥1350m³/h</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7、噪音值(dB(A))≤45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线控器，遥控器</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空调控制面板、遥控器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bl>
    <w:p>
      <w:pPr>
        <w:rPr>
          <w:rFonts w:hint="eastAsia" w:ascii="宋体" w:hAnsi="宋体" w:eastAsia="宋体" w:cs="宋体"/>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说明：1）、以上设备含安装、调试；</w:t>
      </w:r>
    </w:p>
    <w:p>
      <w:pPr>
        <w:keepNext w:val="0"/>
        <w:keepLines w:val="0"/>
        <w:pageBreakBefore w:val="0"/>
        <w:widowControl w:val="0"/>
        <w:numPr>
          <w:ilvl w:val="-1"/>
          <w:numId w:val="0"/>
        </w:numPr>
        <w:kinsoku/>
        <w:wordWrap/>
        <w:overflowPunct/>
        <w:topLinePunct w:val="0"/>
        <w:autoSpaceDE/>
        <w:autoSpaceDN/>
        <w:bidi w:val="0"/>
        <w:adjustRightInd/>
        <w:snapToGrid/>
        <w:spacing w:line="480" w:lineRule="auto"/>
        <w:ind w:firstLine="1200" w:firstLineChars="500"/>
        <w:textAlignment w:val="auto"/>
        <w:rPr>
          <w:rFonts w:hint="eastAsia" w:ascii="宋体" w:hAnsi="宋体" w:eastAsia="宋体" w:cs="宋体"/>
          <w:color w:val="000000"/>
          <w:sz w:val="24"/>
          <w:szCs w:val="24"/>
          <w:highlight w:val="none"/>
        </w:rPr>
      </w:pPr>
      <w:r>
        <w:rPr>
          <w:rFonts w:hint="eastAsia" w:ascii="宋体" w:hAnsi="宋体" w:eastAsia="宋体" w:cs="宋体"/>
          <w:sz w:val="24"/>
          <w:szCs w:val="24"/>
          <w:highlight w:val="none"/>
          <w:lang w:val="en-US" w:eastAsia="zh-CN"/>
        </w:rPr>
        <w:t>2）、非洁净区部分挂机空调包含3米铜管，若部分超过3米的铜管按120元/米（含安装）采购另外结算。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四、安装施工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1、全部冷媒铜管采用无缝紫铜管，橡塑保温厚度达标；所有铜管接口必须做氮气保压检漏、抽真空处理，保压试验合格后方可充注冷媒，必须提供保压记录。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2、管线排布整齐，固定牢固；冷凝水管坡度合理，排水通畅；外机支架做防腐防锈，加装减震垫。</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3、施工不得破坏原有建筑结构、实验室电路、通风管道、台面设备；施工垃圾全部由成交供应商清运出场。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4、电气施工符合国标，单独回路、配套空开，接地可靠；强弱电分离布线。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5、系统完工后连续试运行不少于 24 小时，逐台内机测试制冷、制热、启停、排水功能。</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五、商务条款</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1、报价：固定总价包干，包含设备、运输、吊装、辅材、管线、检漏、抽真空、冷媒、安装调试、垃圾清运、培训、质保、保险等一切费用，合同履行期间除书面变更外不再调价。</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2、付款方式：</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无预付款，整套系统安装调试完成，试运行合格，完成竣工验收，成交供应商提交全套资料及合规发票后，采购单位在20个工作日内支付合同总价95%；剩余 5% 作为质量保证金，质保期满无质量问题，无息一次性付清。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4、质保：整机原厂质保≥3 年，压缩机质保≥5 年，质保期自整体竣工验收合格之日起计算。质保期内免费上门维修、免费更换配件，不收人工费、配件费。接到报修2 小时响应，4 小时到场，24 小时内修复；重大故障 72 小时无法修复，免费更换整机。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5、违约责任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1）、逾期供货 / 安装，每日按合同总价 0.05% 支付违约金；逾期超过 15 天，采购单位有权解除合同，没收履约保证金并索赔损失。</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2）设备品牌、型号、参数造假、翻新、不满足采购要求，采购单位有权拒收、解除合同，没收履约保证金，上报政府采购不良记录。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3）知识产权：成交供应商保证设备不侵犯第三方知识产权，如产生纠纷全部责任由成交供应商承担。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4）资料交付：验收时提交全套资料（纸质 + 电子版）：、能效备案、检测报告、使用说明书、原厂保修卡、竣工图纸、管线走向图、保压检漏记录、操作培训记录。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五、</w:t>
      </w:r>
      <w:r>
        <w:rPr>
          <w:rFonts w:hint="eastAsia" w:ascii="宋体" w:hAnsi="宋体" w:eastAsia="宋体" w:cs="宋体"/>
          <w:sz w:val="24"/>
          <w:highlight w:val="none"/>
        </w:rPr>
        <w:t>评</w:t>
      </w:r>
      <w:r>
        <w:rPr>
          <w:rFonts w:hint="eastAsia" w:ascii="宋体" w:hAnsi="宋体" w:eastAsia="宋体" w:cs="宋体"/>
          <w:sz w:val="24"/>
          <w:highlight w:val="none"/>
          <w:lang w:val="en-US" w:eastAsia="zh-CN"/>
        </w:rPr>
        <w:t>审</w:t>
      </w:r>
      <w:r>
        <w:rPr>
          <w:rFonts w:hint="eastAsia" w:ascii="宋体" w:hAnsi="宋体" w:eastAsia="宋体" w:cs="宋体"/>
          <w:sz w:val="24"/>
          <w:highlight w:val="none"/>
        </w:rPr>
        <w:t>方法和标准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（一）评审信息</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报价截止时</w:t>
      </w:r>
      <w:bookmarkStart w:id="0" w:name="_GoBack"/>
      <w:bookmarkEnd w:id="0"/>
      <w:r>
        <w:rPr>
          <w:rFonts w:hint="eastAsia" w:ascii="宋体" w:hAnsi="宋体" w:eastAsia="宋体" w:cs="宋体"/>
          <w:sz w:val="24"/>
          <w:szCs w:val="24"/>
          <w:highlight w:val="none"/>
          <w:lang w:val="en-US" w:eastAsia="zh-CN"/>
        </w:rPr>
        <w:t>间：2026年10月21日17时30分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评审时间：2026年10月23日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评审地点：福建师范大学泉港石化研究院5楼会议室</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（二）评审方法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采购包1：综合评分法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（1）报价文件满足采购公告全部实质性要求，且按照评审因素的量化指标评审得分（即评审总得分）最高的供应商为成交供应商候选人。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每个供应商的评审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各项评审因素的设置如下：</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价格项（F1×A1）满分为30.00分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Hans"/>
        </w:rPr>
        <w:t xml:space="preserve"> F1指价格项评审因素得分＝（</w:t>
      </w:r>
      <w:r>
        <w:rPr>
          <w:rFonts w:hint="eastAsia" w:ascii="宋体" w:hAnsi="宋体" w:eastAsia="宋体" w:cs="宋体"/>
          <w:sz w:val="24"/>
          <w:szCs w:val="24"/>
          <w:highlight w:val="none"/>
          <w:lang w:val="en-US" w:eastAsia="zh-CN"/>
        </w:rPr>
        <w:t>评审</w:t>
      </w:r>
      <w:r>
        <w:rPr>
          <w:rFonts w:hint="eastAsia" w:ascii="宋体" w:hAnsi="宋体" w:eastAsia="宋体" w:cs="宋体"/>
          <w:sz w:val="24"/>
          <w:szCs w:val="24"/>
          <w:highlight w:val="none"/>
          <w:lang w:val="en-US" w:eastAsia="zh-Hans"/>
        </w:rPr>
        <w:t>基准价/</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zh-Hans"/>
        </w:rPr>
        <w:t>报价）×100×价格项评审因素所占的权重（注：满足</w:t>
      </w:r>
      <w:r>
        <w:rPr>
          <w:rFonts w:hint="eastAsia" w:ascii="宋体" w:hAnsi="宋体" w:eastAsia="宋体" w:cs="宋体"/>
          <w:sz w:val="24"/>
          <w:szCs w:val="24"/>
          <w:highlight w:val="none"/>
          <w:lang w:val="en-US" w:eastAsia="zh-CN"/>
        </w:rPr>
        <w:t>采购公告</w:t>
      </w:r>
      <w:r>
        <w:rPr>
          <w:rFonts w:hint="eastAsia" w:ascii="宋体" w:hAnsi="宋体" w:eastAsia="宋体" w:cs="宋体"/>
          <w:sz w:val="24"/>
          <w:szCs w:val="24"/>
          <w:highlight w:val="none"/>
          <w:lang w:val="en-US" w:eastAsia="zh-Hans"/>
        </w:rPr>
        <w:t>要求且价格最低的</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val="en-US" w:eastAsia="zh-Hans"/>
        </w:rPr>
        <w:t>报价为</w:t>
      </w:r>
      <w:r>
        <w:rPr>
          <w:rFonts w:hint="eastAsia" w:ascii="宋体" w:hAnsi="宋体" w:eastAsia="宋体" w:cs="宋体"/>
          <w:sz w:val="24"/>
          <w:szCs w:val="24"/>
          <w:highlight w:val="none"/>
          <w:lang w:val="en-US" w:eastAsia="zh-CN"/>
        </w:rPr>
        <w:t>评审</w:t>
      </w:r>
      <w:r>
        <w:rPr>
          <w:rFonts w:hint="eastAsia" w:ascii="宋体" w:hAnsi="宋体" w:eastAsia="宋体" w:cs="宋体"/>
          <w:sz w:val="24"/>
          <w:szCs w:val="24"/>
          <w:highlight w:val="none"/>
          <w:lang w:val="en-US" w:eastAsia="zh-Hans"/>
        </w:rPr>
        <w:t>基准价。）最低报价不是</w:t>
      </w:r>
      <w:r>
        <w:rPr>
          <w:rFonts w:hint="eastAsia" w:ascii="宋体" w:hAnsi="宋体" w:eastAsia="宋体" w:cs="宋体"/>
          <w:sz w:val="24"/>
          <w:szCs w:val="24"/>
          <w:highlight w:val="none"/>
          <w:lang w:val="en-US" w:eastAsia="zh-CN"/>
        </w:rPr>
        <w:t>确定为成交供应商候选人</w:t>
      </w:r>
      <w:r>
        <w:rPr>
          <w:rFonts w:hint="eastAsia" w:ascii="宋体" w:hAnsi="宋体" w:eastAsia="宋体" w:cs="宋体"/>
          <w:sz w:val="24"/>
          <w:szCs w:val="24"/>
          <w:highlight w:val="none"/>
          <w:lang w:val="en-US" w:eastAsia="zh-Hans"/>
        </w:rPr>
        <w:t>的唯一依据。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技术项（F2×A2）满分为55.00分</w:t>
      </w:r>
    </w:p>
    <w:tbl>
      <w:tblPr>
        <w:tblStyle w:val="5"/>
        <w:tblW w:w="875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95"/>
        <w:gridCol w:w="816"/>
        <w:gridCol w:w="742"/>
        <w:gridCol w:w="600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ascii="宋体" w:hAnsi="宋体" w:eastAsia="宋体" w:cs="宋体"/>
                <w:sz w:val="24"/>
                <w:szCs w:val="24"/>
                <w:highlight w:val="none"/>
              </w:rPr>
            </w:pPr>
            <w:r>
              <w:rPr>
                <w:rFonts w:ascii="宋体" w:hAnsi="宋体" w:eastAsia="宋体" w:cs="宋体"/>
                <w:sz w:val="24"/>
                <w:szCs w:val="24"/>
                <w:highlight w:val="none"/>
              </w:rPr>
              <w:t xml:space="preserve"> 项目</w:t>
            </w:r>
          </w:p>
        </w:tc>
        <w:tc>
          <w:tcPr>
            <w:tcW w:w="816" w:type="dxa"/>
          </w:tcPr>
          <w:p>
            <w:pPr>
              <w:pStyle w:val="8"/>
              <w:jc w:val="both"/>
              <w:rPr>
                <w:rFonts w:ascii="宋体" w:hAnsi="宋体" w:eastAsia="宋体" w:cs="宋体"/>
                <w:sz w:val="24"/>
                <w:szCs w:val="24"/>
                <w:highlight w:val="none"/>
              </w:rPr>
            </w:pPr>
            <w:r>
              <w:rPr>
                <w:rFonts w:ascii="宋体" w:hAnsi="宋体" w:eastAsia="宋体" w:cs="宋体"/>
                <w:sz w:val="24"/>
                <w:szCs w:val="24"/>
                <w:highlight w:val="none"/>
              </w:rPr>
              <w:t xml:space="preserve"> 分值</w:t>
            </w:r>
          </w:p>
        </w:tc>
        <w:tc>
          <w:tcPr>
            <w:tcW w:w="742" w:type="dxa"/>
            <w:shd w:val="clear" w:color="auto" w:fill="auto"/>
            <w:vAlign w:val="top"/>
          </w:tcPr>
          <w:p>
            <w:pPr>
              <w:pStyle w:val="8"/>
              <w:jc w:val="both"/>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是否客观项</w:t>
            </w:r>
          </w:p>
        </w:tc>
        <w:tc>
          <w:tcPr>
            <w:tcW w:w="6001" w:type="dxa"/>
          </w:tcPr>
          <w:p>
            <w:pPr>
              <w:pStyle w:val="8"/>
              <w:jc w:val="both"/>
              <w:rPr>
                <w:rFonts w:ascii="宋体" w:hAnsi="宋体" w:eastAsia="宋体" w:cs="宋体"/>
                <w:sz w:val="24"/>
                <w:szCs w:val="24"/>
                <w:highlight w:val="none"/>
              </w:rPr>
            </w:pPr>
            <w:r>
              <w:rPr>
                <w:rFonts w:ascii="宋体" w:hAnsi="宋体" w:eastAsia="宋体" w:cs="宋体"/>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ascii="宋体" w:hAnsi="宋体" w:eastAsia="宋体" w:cs="宋体"/>
                <w:sz w:val="24"/>
                <w:szCs w:val="24"/>
                <w:highlight w:val="none"/>
              </w:rPr>
            </w:pPr>
            <w:r>
              <w:rPr>
                <w:rFonts w:ascii="宋体" w:hAnsi="宋体" w:eastAsia="宋体" w:cs="宋体"/>
                <w:sz w:val="24"/>
                <w:szCs w:val="24"/>
                <w:highlight w:val="none"/>
              </w:rPr>
              <w:t>1、技术要求的符合性</w:t>
            </w:r>
          </w:p>
        </w:tc>
        <w:tc>
          <w:tcPr>
            <w:tcW w:w="816" w:type="dxa"/>
          </w:tcPr>
          <w:p>
            <w:pPr>
              <w:pStyle w:val="8"/>
              <w:jc w:val="righ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33</w:t>
            </w:r>
            <w:r>
              <w:rPr>
                <w:rFonts w:ascii="宋体" w:hAnsi="宋体" w:eastAsia="宋体" w:cs="宋体"/>
                <w:sz w:val="24"/>
                <w:szCs w:val="24"/>
                <w:highlight w:val="none"/>
              </w:rPr>
              <w:t>.00</w:t>
            </w:r>
          </w:p>
        </w:tc>
        <w:tc>
          <w:tcPr>
            <w:tcW w:w="742" w:type="dxa"/>
            <w:shd w:val="clear" w:color="auto" w:fill="auto"/>
            <w:vAlign w:val="top"/>
          </w:tcPr>
          <w:p>
            <w:pPr>
              <w:pStyle w:val="8"/>
              <w:jc w:val="left"/>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w:t>
            </w:r>
          </w:p>
        </w:tc>
        <w:tc>
          <w:tcPr>
            <w:tcW w:w="6001" w:type="dxa"/>
          </w:tcPr>
          <w:p>
            <w:pPr>
              <w:pStyle w:val="8"/>
              <w:jc w:val="both"/>
              <w:rPr>
                <w:rFonts w:hint="eastAsia" w:ascii="宋体" w:hAnsi="宋体" w:eastAsia="宋体" w:cs="宋体"/>
                <w:sz w:val="24"/>
                <w:szCs w:val="24"/>
                <w:highlight w:val="none"/>
                <w:lang w:eastAsia="zh-CN"/>
              </w:rPr>
            </w:pPr>
            <w:r>
              <w:rPr>
                <w:rFonts w:ascii="宋体" w:hAnsi="宋体" w:eastAsia="宋体" w:cs="宋体"/>
                <w:sz w:val="24"/>
                <w:szCs w:val="24"/>
                <w:highlight w:val="none"/>
              </w:rPr>
              <w:t>根据各</w:t>
            </w:r>
            <w:r>
              <w:rPr>
                <w:rFonts w:hint="eastAsia" w:ascii="宋体" w:hAnsi="宋体" w:eastAsia="宋体" w:cs="宋体"/>
                <w:sz w:val="24"/>
                <w:szCs w:val="24"/>
                <w:highlight w:val="none"/>
                <w:lang w:eastAsia="zh-CN"/>
              </w:rPr>
              <w:t>供应商</w:t>
            </w:r>
            <w:r>
              <w:rPr>
                <w:rFonts w:ascii="宋体" w:hAnsi="宋体" w:eastAsia="宋体" w:cs="宋体"/>
                <w:sz w:val="24"/>
                <w:szCs w:val="24"/>
                <w:highlight w:val="none"/>
              </w:rPr>
              <w:t>对</w:t>
            </w:r>
            <w:r>
              <w:rPr>
                <w:rFonts w:hint="eastAsia" w:ascii="宋体" w:hAnsi="宋体" w:eastAsia="宋体" w:cs="宋体"/>
                <w:sz w:val="24"/>
                <w:szCs w:val="24"/>
                <w:highlight w:val="none"/>
                <w:lang w:eastAsia="zh-CN"/>
              </w:rPr>
              <w:t>采购公告</w:t>
            </w:r>
            <w:r>
              <w:rPr>
                <w:rFonts w:hint="eastAsia" w:ascii="宋体" w:hAnsi="宋体" w:eastAsia="宋体" w:cs="宋体"/>
                <w:sz w:val="24"/>
                <w:szCs w:val="24"/>
                <w:highlight w:val="none"/>
                <w:lang w:val="en-US" w:eastAsia="zh-CN"/>
              </w:rPr>
              <w:t>附件</w:t>
            </w:r>
            <w:r>
              <w:rPr>
                <w:rFonts w:ascii="宋体" w:hAnsi="宋体" w:eastAsia="宋体" w:cs="宋体"/>
                <w:sz w:val="24"/>
                <w:szCs w:val="24"/>
                <w:highlight w:val="none"/>
              </w:rPr>
              <w:t>“</w:t>
            </w:r>
            <w:r>
              <w:rPr>
                <w:rFonts w:hint="eastAsia" w:ascii="宋体" w:hAnsi="宋体" w:eastAsia="宋体" w:cs="宋体"/>
                <w:sz w:val="24"/>
                <w:szCs w:val="24"/>
                <w:highlight w:val="none"/>
              </w:rPr>
              <w:t>三、技术需求1、技术和服务要求</w:t>
            </w:r>
            <w:r>
              <w:rPr>
                <w:rFonts w:ascii="宋体" w:hAnsi="宋体" w:eastAsia="宋体" w:cs="宋体"/>
                <w:sz w:val="24"/>
                <w:szCs w:val="24"/>
                <w:highlight w:val="none"/>
              </w:rPr>
              <w:t>”技术和服务要求的响应情况进行评议，</w:t>
            </w:r>
            <w:r>
              <w:rPr>
                <w:rFonts w:hint="eastAsia" w:ascii="宋体" w:hAnsi="宋体" w:eastAsia="宋体" w:cs="宋体"/>
                <w:sz w:val="24"/>
                <w:szCs w:val="24"/>
                <w:highlight w:val="none"/>
              </w:rPr>
              <w:t>中的各项技术参数的逐项响应情况由评委进行评分</w:t>
            </w:r>
            <w:r>
              <w:rPr>
                <w:rFonts w:hint="eastAsia" w:ascii="宋体" w:hAnsi="宋体" w:eastAsia="宋体" w:cs="宋体"/>
                <w:sz w:val="24"/>
                <w:szCs w:val="24"/>
                <w:highlight w:val="none"/>
                <w:lang w:eastAsia="zh-CN"/>
              </w:rPr>
              <w:t>，共计</w:t>
            </w:r>
            <w:r>
              <w:rPr>
                <w:rFonts w:hint="eastAsia" w:ascii="宋体" w:hAnsi="宋体" w:eastAsia="宋体" w:cs="宋体"/>
                <w:sz w:val="24"/>
                <w:szCs w:val="24"/>
                <w:highlight w:val="none"/>
                <w:lang w:val="en-US" w:eastAsia="zh-CN"/>
              </w:rPr>
              <w:t>66</w:t>
            </w:r>
            <w:r>
              <w:rPr>
                <w:rFonts w:hint="eastAsia" w:ascii="宋体" w:hAnsi="宋体" w:eastAsia="宋体" w:cs="宋体"/>
                <w:sz w:val="24"/>
                <w:szCs w:val="24"/>
                <w:highlight w:val="none"/>
                <w:lang w:eastAsia="zh-CN"/>
              </w:rPr>
              <w:t>项，</w:t>
            </w:r>
            <w:r>
              <w:rPr>
                <w:rFonts w:ascii="宋体" w:hAnsi="宋体" w:eastAsia="宋体" w:cs="宋体"/>
                <w:sz w:val="24"/>
                <w:szCs w:val="24"/>
                <w:highlight w:val="none"/>
              </w:rPr>
              <w:t>每负偏离一项扣0.5分，正偏离不加分</w:t>
            </w:r>
            <w:r>
              <w:rPr>
                <w:rFonts w:hint="eastAsia" w:ascii="宋体" w:hAnsi="宋体" w:eastAsia="宋体" w:cs="宋体"/>
                <w:sz w:val="24"/>
                <w:szCs w:val="24"/>
                <w:highlight w:val="none"/>
                <w:lang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vAlign w:val="center"/>
          </w:tcPr>
          <w:p>
            <w:pPr>
              <w:pStyle w:val="8"/>
              <w:jc w:val="both"/>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2、</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1</w:t>
            </w:r>
          </w:p>
        </w:tc>
        <w:tc>
          <w:tcPr>
            <w:tcW w:w="816" w:type="dxa"/>
          </w:tcPr>
          <w:p>
            <w:pPr>
              <w:pStyle w:val="8"/>
              <w:jc w:val="righ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.00</w:t>
            </w:r>
          </w:p>
        </w:tc>
        <w:tc>
          <w:tcPr>
            <w:tcW w:w="742"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是</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供应商所投变频智能多联室外机机组系列具备在长时间正常运转工作后，若出现室外机风轮积灰或有杂物影响散热排气的情况，机组室外机会自动启动室外机风扇，反向运行 1分钟，清洁换热器灰尘，使机组恢复到正常工作状态，得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（须提供第三方权威检测机构出具的检测报告复印件或扫描件，原件备查）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2</w:t>
            </w:r>
          </w:p>
        </w:tc>
        <w:tc>
          <w:tcPr>
            <w:tcW w:w="816" w:type="dxa"/>
          </w:tcPr>
          <w:p>
            <w:pPr>
              <w:pStyle w:val="8"/>
              <w:jc w:val="righ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.00</w:t>
            </w:r>
          </w:p>
        </w:tc>
        <w:tc>
          <w:tcPr>
            <w:tcW w:w="742"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是</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供应商所投变频智能多联室外机机组系列具备在机组运行稳定状况下，若是遇到火灾等消防事故，机组在接收到信号后应能进入对应的响应状态防止机组出现串火或过火的情况，得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（须提供第三方权威检测机构出具的检测报告复印件或扫描件，原件备查）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3</w:t>
            </w:r>
          </w:p>
        </w:tc>
        <w:tc>
          <w:tcPr>
            <w:tcW w:w="816" w:type="dxa"/>
          </w:tcPr>
          <w:p>
            <w:pPr>
              <w:pStyle w:val="8"/>
              <w:jc w:val="right"/>
              <w:rPr>
                <w:rFonts w:ascii="宋体" w:hAnsi="宋体" w:eastAsia="宋体" w:cs="宋体"/>
                <w:sz w:val="24"/>
                <w:szCs w:val="24"/>
                <w:highlight w:val="none"/>
              </w:rPr>
            </w:pPr>
            <w:r>
              <w:rPr>
                <w:rFonts w:ascii="宋体" w:hAnsi="宋体" w:eastAsia="宋体" w:cs="宋体"/>
                <w:sz w:val="24"/>
                <w:szCs w:val="24"/>
                <w:highlight w:val="none"/>
              </w:rPr>
              <w:t>3.00</w:t>
            </w:r>
          </w:p>
        </w:tc>
        <w:tc>
          <w:tcPr>
            <w:tcW w:w="742"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是</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供应商所投变频多联空调室内机、室外机（选型适配室内机制冷量的室外机）与压缩机为同一品牌的得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同一品牌认定如下：①压缩机产地为中国大陆的，需提供中国质量认证中心的压缩机产品认证证书，提交与所投压缩机品牌名称一致的压缩机制造厂家在全国认证认可信息公共服务平台网站（http://cx.cnca.cn/CertECloud/index/index/page）查询结果的截图佐证，其中产品类别需体现“变频涡旋压缩机”且查询结果中认证委托人与生产者（制造商）必须一致；或②压缩机产地为中国大陆以外的，需提供近2年内的压缩机进口报关单证明材料及所投设备整机受控压缩机部件的节能试验报告，证明材料中圈出“压缩机”型号及品牌（进口报关单及节能试验报告中涉及的制造商（生产商）、品牌、型号必须一致）。</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1585" w:hRule="atLeast"/>
        </w:trPr>
        <w:tc>
          <w:tcPr>
            <w:tcW w:w="1195"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4</w:t>
            </w:r>
          </w:p>
        </w:tc>
        <w:tc>
          <w:tcPr>
            <w:tcW w:w="816" w:type="dxa"/>
          </w:tcPr>
          <w:p>
            <w:pPr>
              <w:pStyle w:val="8"/>
              <w:jc w:val="right"/>
              <w:rPr>
                <w:rFonts w:ascii="宋体" w:hAnsi="宋体" w:eastAsia="宋体" w:cs="宋体"/>
                <w:sz w:val="24"/>
                <w:szCs w:val="24"/>
                <w:highlight w:val="none"/>
              </w:rPr>
            </w:pPr>
            <w:r>
              <w:rPr>
                <w:rFonts w:ascii="宋体" w:hAnsi="宋体" w:eastAsia="宋体" w:cs="宋体"/>
                <w:sz w:val="24"/>
                <w:szCs w:val="24"/>
                <w:highlight w:val="none"/>
              </w:rPr>
              <w:t>3.00</w:t>
            </w:r>
          </w:p>
        </w:tc>
        <w:tc>
          <w:tcPr>
            <w:tcW w:w="742"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是</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供应商所直流变频多联机组产品室外机系列具有高效智能除霜及底部防除霜、相间平衡技术、掉电记忆及断电重启、智能节电、多种回油保护功能，得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（须提供第三方权威检测机构出具的检测报告复印件或扫描件，原件备查）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5</w:t>
            </w:r>
          </w:p>
        </w:tc>
        <w:tc>
          <w:tcPr>
            <w:tcW w:w="816" w:type="dxa"/>
            <w:shd w:val="clear" w:color="auto" w:fill="auto"/>
            <w:vAlign w:val="top"/>
          </w:tcPr>
          <w:p>
            <w:pPr>
              <w:pStyle w:val="8"/>
              <w:jc w:val="right"/>
              <w:rPr>
                <w:rFonts w:hint="eastAsia" w:ascii="宋体" w:hAnsi="宋体" w:eastAsia="宋体" w:cs="宋体"/>
                <w:sz w:val="24"/>
                <w:szCs w:val="24"/>
                <w:highlight w:val="none"/>
                <w:lang w:val="en-US" w:eastAsia="zh-Hans"/>
              </w:rPr>
            </w:pPr>
            <w:r>
              <w:rPr>
                <w:rFonts w:ascii="宋体" w:hAnsi="宋体" w:eastAsia="宋体" w:cs="宋体"/>
                <w:sz w:val="24"/>
                <w:szCs w:val="24"/>
                <w:highlight w:val="none"/>
              </w:rPr>
              <w:t>3.00</w:t>
            </w:r>
          </w:p>
        </w:tc>
        <w:tc>
          <w:tcPr>
            <w:tcW w:w="742" w:type="dxa"/>
            <w:shd w:val="clear" w:color="auto" w:fill="auto"/>
            <w:vAlign w:val="top"/>
          </w:tcPr>
          <w:p>
            <w:pPr>
              <w:pStyle w:val="8"/>
              <w:jc w:val="both"/>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供应商所投直流变频多联机组产品室外机系列根据GB/T 18837-2015规定具有：高温制冷能力零衰减、长配管制冷能力低衰减、室外机高机外静压制冷能力零衰减、低温制热能力低衰减功能</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（须提供第三方权威检测机构出具的检测报告复印件或扫描件，原件备查）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6</w:t>
            </w:r>
          </w:p>
        </w:tc>
        <w:tc>
          <w:tcPr>
            <w:tcW w:w="816" w:type="dxa"/>
            <w:shd w:val="clear" w:color="auto" w:fill="auto"/>
            <w:vAlign w:val="top"/>
          </w:tcPr>
          <w:p>
            <w:pPr>
              <w:pStyle w:val="8"/>
              <w:jc w:val="right"/>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lang w:val="en-US" w:eastAsia="zh-CN"/>
              </w:rPr>
              <w:t>2</w:t>
            </w:r>
            <w:r>
              <w:rPr>
                <w:rFonts w:ascii="宋体" w:hAnsi="宋体" w:eastAsia="宋体" w:cs="宋体"/>
                <w:sz w:val="24"/>
                <w:szCs w:val="24"/>
                <w:highlight w:val="none"/>
              </w:rPr>
              <w:t>.00</w:t>
            </w:r>
          </w:p>
        </w:tc>
        <w:tc>
          <w:tcPr>
            <w:tcW w:w="742" w:type="dxa"/>
            <w:shd w:val="clear" w:color="auto" w:fill="auto"/>
            <w:vAlign w:val="top"/>
          </w:tcPr>
          <w:p>
            <w:pPr>
              <w:pStyle w:val="8"/>
              <w:jc w:val="both"/>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供应商所投多联机空调设备产品室外机具备通讯实时一级功能</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得2分，（须提供第三方权威检测机构出具的检测报告复印件或扫描件，原件备查）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w:t>
            </w:r>
            <w:r>
              <w:rPr>
                <w:rFonts w:ascii="宋体" w:hAnsi="宋体" w:eastAsia="宋体" w:cs="宋体"/>
                <w:sz w:val="24"/>
                <w:szCs w:val="24"/>
                <w:highlight w:val="none"/>
              </w:rPr>
              <w:t>、</w:t>
            </w:r>
            <w:r>
              <w:rPr>
                <w:rFonts w:hint="eastAsia" w:ascii="宋体" w:hAnsi="宋体" w:eastAsia="宋体" w:cs="宋体"/>
                <w:sz w:val="24"/>
                <w:szCs w:val="24"/>
                <w:highlight w:val="none"/>
                <w:lang w:eastAsia="zh-CN"/>
              </w:rPr>
              <w:t>设备</w:t>
            </w:r>
            <w:r>
              <w:rPr>
                <w:rFonts w:hint="eastAsia" w:ascii="宋体" w:hAnsi="宋体" w:eastAsia="宋体" w:cs="宋体"/>
                <w:sz w:val="24"/>
                <w:szCs w:val="24"/>
                <w:highlight w:val="none"/>
              </w:rPr>
              <w:t>功能要求</w:t>
            </w:r>
            <w:r>
              <w:rPr>
                <w:rFonts w:hint="eastAsia" w:ascii="宋体" w:hAnsi="宋体" w:eastAsia="宋体" w:cs="宋体"/>
                <w:sz w:val="24"/>
                <w:szCs w:val="24"/>
                <w:highlight w:val="none"/>
                <w:lang w:val="en-US" w:eastAsia="zh-CN"/>
              </w:rPr>
              <w:t>7</w:t>
            </w:r>
          </w:p>
        </w:tc>
        <w:tc>
          <w:tcPr>
            <w:tcW w:w="816" w:type="dxa"/>
            <w:shd w:val="clear" w:color="auto" w:fill="auto"/>
            <w:vAlign w:val="top"/>
          </w:tcPr>
          <w:p>
            <w:pPr>
              <w:pStyle w:val="8"/>
              <w:jc w:val="right"/>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lang w:val="en-US" w:eastAsia="zh-CN"/>
              </w:rPr>
              <w:t>2</w:t>
            </w:r>
            <w:r>
              <w:rPr>
                <w:rFonts w:ascii="宋体" w:hAnsi="宋体" w:eastAsia="宋体" w:cs="宋体"/>
                <w:sz w:val="24"/>
                <w:szCs w:val="24"/>
                <w:highlight w:val="none"/>
              </w:rPr>
              <w:t>.00</w:t>
            </w:r>
          </w:p>
        </w:tc>
        <w:tc>
          <w:tcPr>
            <w:tcW w:w="742" w:type="dxa"/>
            <w:shd w:val="clear" w:color="auto" w:fill="auto"/>
            <w:vAlign w:val="top"/>
          </w:tcPr>
          <w:p>
            <w:pPr>
              <w:pStyle w:val="8"/>
              <w:jc w:val="both"/>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w:t>
            </w:r>
          </w:p>
        </w:tc>
        <w:tc>
          <w:tcPr>
            <w:tcW w:w="6001"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供应商所投多联机组室外机电控盒按IP68密封结构设计，可有效防止雨雪、沙尘、蚊虫等进入电控盒内，得2分，（须提供第三方权威检测机构出具的检测报告复印件或扫描件，原件备查）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95"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施工组织方案</w:t>
            </w:r>
          </w:p>
        </w:tc>
        <w:tc>
          <w:tcPr>
            <w:tcW w:w="816" w:type="dxa"/>
            <w:shd w:val="clear" w:color="auto" w:fill="auto"/>
            <w:vAlign w:val="top"/>
          </w:tcPr>
          <w:p>
            <w:pPr>
              <w:pStyle w:val="8"/>
              <w:jc w:val="right"/>
              <w:rPr>
                <w:rFonts w:hint="eastAsia" w:ascii="宋体" w:hAnsi="宋体" w:eastAsia="宋体" w:cs="宋体"/>
                <w:sz w:val="24"/>
                <w:szCs w:val="24"/>
                <w:highlight w:val="none"/>
                <w:lang w:val="en-US" w:eastAsia="zh-Hans"/>
              </w:rPr>
            </w:pPr>
            <w:r>
              <w:rPr>
                <w:rFonts w:ascii="宋体" w:hAnsi="宋体" w:eastAsia="宋体" w:cs="宋体"/>
                <w:sz w:val="24"/>
                <w:szCs w:val="24"/>
                <w:highlight w:val="none"/>
              </w:rPr>
              <w:t>3.00</w:t>
            </w:r>
          </w:p>
        </w:tc>
        <w:tc>
          <w:tcPr>
            <w:tcW w:w="742" w:type="dxa"/>
            <w:shd w:val="clear" w:color="auto" w:fill="auto"/>
            <w:vAlign w:val="top"/>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否</w:t>
            </w:r>
          </w:p>
        </w:tc>
        <w:tc>
          <w:tcPr>
            <w:tcW w:w="6001" w:type="dxa"/>
          </w:tcPr>
          <w:p>
            <w:pPr>
              <w:pStyle w:val="8"/>
              <w:jc w:val="both"/>
              <w:rPr>
                <w:rFonts w:ascii="宋体" w:hAnsi="宋体" w:eastAsia="宋体" w:cs="宋体"/>
                <w:sz w:val="24"/>
                <w:szCs w:val="24"/>
                <w:highlight w:val="none"/>
              </w:rPr>
            </w:pP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针对本项目的实施组织方案进行评议：提供的实施组织方案含有科学、合理的技术人员配备、施工进度计划、货物进场计划、货物安装组织计划等技术措施等情况进行评分：方案包含的要点齐全无缺漏项、内容与要点相符、内容完善且能够适用于本项目的得3分；方案包含的要点齐全、内容与要点相符，但仅有纲要内容简略，未展开阐述的得2分；方案所包含的要点有缺漏或内容存在错误的得1分，未提供的本项不得分。</w:t>
            </w:r>
          </w:p>
        </w:tc>
      </w:tr>
    </w:tbl>
    <w:p>
      <w:pPr>
        <w:pStyle w:val="8"/>
        <w:jc w:val="both"/>
        <w:rPr>
          <w:rFonts w:ascii="宋体" w:hAnsi="宋体" w:eastAsia="宋体" w:cs="宋体"/>
          <w:sz w:val="24"/>
          <w:szCs w:val="24"/>
          <w:highlight w:val="none"/>
        </w:rPr>
      </w:pPr>
      <w:r>
        <w:rPr>
          <w:rFonts w:ascii="宋体" w:hAnsi="宋体" w:eastAsia="宋体" w:cs="宋体"/>
          <w:sz w:val="24"/>
          <w:szCs w:val="24"/>
          <w:highlight w:val="none"/>
        </w:rPr>
        <w:t>商务项（F3×A3）满分为1</w:t>
      </w: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.00分</w:t>
      </w:r>
    </w:p>
    <w:tbl>
      <w:tblPr>
        <w:tblStyle w:val="5"/>
        <w:tblW w:w="879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3"/>
        <w:gridCol w:w="795"/>
        <w:gridCol w:w="735"/>
        <w:gridCol w:w="604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223"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项目</w:t>
            </w:r>
          </w:p>
        </w:tc>
        <w:tc>
          <w:tcPr>
            <w:tcW w:w="795"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分值</w:t>
            </w:r>
          </w:p>
        </w:tc>
        <w:tc>
          <w:tcPr>
            <w:tcW w:w="735" w:type="dxa"/>
            <w:shd w:val="clear" w:color="auto" w:fill="auto"/>
            <w:vAlign w:val="top"/>
          </w:tcPr>
          <w:p>
            <w:pPr>
              <w:pStyle w:val="8"/>
              <w:jc w:val="both"/>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是否客观项</w:t>
            </w:r>
          </w:p>
        </w:tc>
        <w:tc>
          <w:tcPr>
            <w:tcW w:w="6046"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223" w:type="dxa"/>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1、综合实力</w:t>
            </w:r>
            <w:r>
              <w:rPr>
                <w:rFonts w:hint="eastAsia" w:ascii="宋体" w:hAnsi="宋体" w:eastAsia="宋体" w:cs="宋体"/>
                <w:sz w:val="24"/>
                <w:szCs w:val="24"/>
                <w:highlight w:val="none"/>
                <w:lang w:val="en-US" w:eastAsia="zh-CN"/>
              </w:rPr>
              <w:t>1</w:t>
            </w:r>
          </w:p>
        </w:tc>
        <w:tc>
          <w:tcPr>
            <w:tcW w:w="795" w:type="dxa"/>
          </w:tcPr>
          <w:p>
            <w:pPr>
              <w:pStyle w:val="8"/>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3.00</w:t>
            </w:r>
          </w:p>
        </w:tc>
        <w:tc>
          <w:tcPr>
            <w:tcW w:w="735" w:type="dxa"/>
            <w:shd w:val="clear" w:color="auto" w:fill="auto"/>
            <w:vAlign w:val="top"/>
          </w:tcPr>
          <w:p>
            <w:pPr>
              <w:pStyle w:val="8"/>
              <w:jc w:val="left"/>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是</w:t>
            </w:r>
          </w:p>
        </w:tc>
        <w:tc>
          <w:tcPr>
            <w:tcW w:w="6046"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所投直流变频多联机组制造商获得质量管理体系认证、环境管理体系认证、职业健康安全管理体系认证，有害物质过程管理体系认证，测量管理体系认证，每提供一项得0.6分，满分3分。须提供有效证书复印件和中国国家认证认可监督管理委员会(http://www.cnca.gov.cn)或中国合格评定国家认可委员会(http://www.cnas.org.cn)网站的查询结果网页截图并注明网址，否则不得分；</w:t>
            </w:r>
            <w:r>
              <w:rPr>
                <w:rFonts w:hint="eastAsia" w:ascii="宋体" w:hAnsi="宋体" w:eastAsia="宋体" w:cs="宋体"/>
                <w:sz w:val="24"/>
                <w:szCs w:val="24"/>
                <w:highlight w:val="none"/>
                <w:lang w:eastAsia="zh-CN"/>
              </w:rPr>
              <w:t>评审</w:t>
            </w:r>
            <w:r>
              <w:rPr>
                <w:rFonts w:hint="eastAsia" w:ascii="宋体" w:hAnsi="宋体" w:eastAsia="宋体" w:cs="宋体"/>
                <w:sz w:val="24"/>
                <w:szCs w:val="24"/>
                <w:highlight w:val="none"/>
              </w:rPr>
              <w:t>过程中如发现</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提供的证书复印件中信息与查询结果网页截图内容不一致的，本项不得分。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223" w:type="dxa"/>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2、综合实力</w:t>
            </w:r>
            <w:r>
              <w:rPr>
                <w:rFonts w:hint="eastAsia" w:ascii="宋体" w:hAnsi="宋体" w:eastAsia="宋体" w:cs="宋体"/>
                <w:sz w:val="24"/>
                <w:szCs w:val="24"/>
                <w:highlight w:val="none"/>
                <w:lang w:val="en-US" w:eastAsia="zh-CN"/>
              </w:rPr>
              <w:t>2</w:t>
            </w:r>
          </w:p>
        </w:tc>
        <w:tc>
          <w:tcPr>
            <w:tcW w:w="795" w:type="dxa"/>
          </w:tcPr>
          <w:p>
            <w:pPr>
              <w:pStyle w:val="8"/>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t>
            </w:r>
          </w:p>
        </w:tc>
        <w:tc>
          <w:tcPr>
            <w:tcW w:w="735"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是</w:t>
            </w:r>
          </w:p>
        </w:tc>
        <w:tc>
          <w:tcPr>
            <w:tcW w:w="6046"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所投直流变频多联机组制造商获得国家级颁发的科学技术进步奖的得3分，获得省部级颁发的科学进步奖的得1.5分，其他不得分。须提供相关证书材料佐证，未提供不得分。须提供证明材料复印件（证明材料须是有效、清晰的）并加盖</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公章，未提供或提供不全不得分。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1183" w:hRule="atLeast"/>
        </w:trPr>
        <w:tc>
          <w:tcPr>
            <w:tcW w:w="1223" w:type="dxa"/>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3、项目负责人</w:t>
            </w:r>
          </w:p>
        </w:tc>
        <w:tc>
          <w:tcPr>
            <w:tcW w:w="795" w:type="dxa"/>
          </w:tcPr>
          <w:p>
            <w:pPr>
              <w:pStyle w:val="8"/>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t>
            </w:r>
          </w:p>
        </w:tc>
        <w:tc>
          <w:tcPr>
            <w:tcW w:w="735"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是</w:t>
            </w:r>
          </w:p>
        </w:tc>
        <w:tc>
          <w:tcPr>
            <w:tcW w:w="6046"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针对本项目拟派项目负责人同时具有有效的①二级或以上机电工程专业注册建造师执业资格、②安全生产考核合格证书B证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的得</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分，未提供或提供不全的本项不得分。与其他评分项人员不得重复。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223"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、人员情况</w:t>
            </w:r>
          </w:p>
        </w:tc>
        <w:tc>
          <w:tcPr>
            <w:tcW w:w="795" w:type="dxa"/>
          </w:tcPr>
          <w:p>
            <w:pPr>
              <w:pStyle w:val="8"/>
              <w:jc w:val="righ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t>
            </w:r>
          </w:p>
        </w:tc>
        <w:tc>
          <w:tcPr>
            <w:tcW w:w="735"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是</w:t>
            </w:r>
          </w:p>
        </w:tc>
        <w:tc>
          <w:tcPr>
            <w:tcW w:w="6046" w:type="dxa"/>
          </w:tcPr>
          <w:p>
            <w:pPr>
              <w:pStyle w:val="8"/>
              <w:jc w:val="both"/>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针对本项目拟派</w:t>
            </w:r>
            <w:r>
              <w:rPr>
                <w:rFonts w:hint="eastAsia" w:ascii="宋体" w:hAnsi="宋体" w:eastAsia="宋体" w:cs="宋体"/>
                <w:sz w:val="24"/>
                <w:szCs w:val="24"/>
                <w:highlight w:val="none"/>
                <w:lang w:eastAsia="zh-CN"/>
              </w:rPr>
              <w:t>安装</w:t>
            </w:r>
            <w:r>
              <w:rPr>
                <w:rFonts w:hint="eastAsia" w:ascii="宋体" w:hAnsi="宋体" w:eastAsia="宋体" w:cs="宋体"/>
                <w:sz w:val="24"/>
                <w:szCs w:val="24"/>
                <w:highlight w:val="none"/>
              </w:rPr>
              <w:t>人员具有</w:t>
            </w:r>
            <w:r>
              <w:rPr>
                <w:rFonts w:hint="eastAsia" w:ascii="宋体" w:hAnsi="宋体" w:eastAsia="宋体" w:cs="宋体"/>
                <w:sz w:val="24"/>
                <w:szCs w:val="24"/>
                <w:highlight w:val="none"/>
                <w:lang w:eastAsia="zh-CN"/>
              </w:rPr>
              <w:t>高处作业证或低压电工证</w:t>
            </w:r>
            <w:r>
              <w:rPr>
                <w:rFonts w:hint="eastAsia" w:ascii="宋体" w:hAnsi="宋体" w:eastAsia="宋体" w:cs="宋体"/>
                <w:sz w:val="24"/>
                <w:szCs w:val="24"/>
                <w:highlight w:val="none"/>
              </w:rPr>
              <w:t>证书的每提供1本证书得1分</w:t>
            </w:r>
            <w:r>
              <w:rPr>
                <w:rFonts w:hint="eastAsia" w:ascii="宋体" w:hAnsi="宋体" w:eastAsia="宋体" w:cs="宋体"/>
                <w:sz w:val="24"/>
                <w:szCs w:val="24"/>
                <w:highlight w:val="none"/>
                <w:lang w:eastAsia="zh-CN"/>
              </w:rPr>
              <w:t>，满分</w:t>
            </w:r>
            <w:r>
              <w:rPr>
                <w:rFonts w:hint="eastAsia" w:ascii="宋体" w:hAnsi="宋体" w:eastAsia="宋体" w:cs="宋体"/>
                <w:sz w:val="24"/>
                <w:szCs w:val="24"/>
                <w:highlight w:val="none"/>
                <w:lang w:val="en-US" w:eastAsia="zh-CN"/>
              </w:rPr>
              <w:t>3分</w:t>
            </w:r>
            <w:r>
              <w:rPr>
                <w:rFonts w:hint="eastAsia" w:ascii="宋体" w:hAnsi="宋体" w:eastAsia="宋体" w:cs="宋体"/>
                <w:sz w:val="24"/>
                <w:szCs w:val="24"/>
                <w:highlight w:val="none"/>
              </w:rPr>
              <w:t>。同一人具有不同证书的不得重复得分。未提供的不得分。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223" w:type="dxa"/>
            <w:shd w:val="clear" w:color="auto" w:fill="auto"/>
            <w:vAlign w:val="top"/>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、售后服务方案</w:t>
            </w:r>
          </w:p>
        </w:tc>
        <w:tc>
          <w:tcPr>
            <w:tcW w:w="795" w:type="dxa"/>
            <w:shd w:val="clear" w:color="auto" w:fill="auto"/>
            <w:vAlign w:val="top"/>
          </w:tcPr>
          <w:p>
            <w:pPr>
              <w:pStyle w:val="8"/>
              <w:jc w:val="righ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.00</w:t>
            </w:r>
          </w:p>
        </w:tc>
        <w:tc>
          <w:tcPr>
            <w:tcW w:w="735" w:type="dxa"/>
            <w:shd w:val="clear" w:color="auto" w:fill="auto"/>
            <w:vAlign w:val="top"/>
          </w:tcPr>
          <w:p>
            <w:pPr>
              <w:pStyle w:val="8"/>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否</w:t>
            </w:r>
          </w:p>
        </w:tc>
        <w:tc>
          <w:tcPr>
            <w:tcW w:w="6046" w:type="dxa"/>
            <w:shd w:val="clear" w:color="auto" w:fill="auto"/>
            <w:vAlign w:val="top"/>
          </w:tcPr>
          <w:p>
            <w:pPr>
              <w:pStyle w:val="8"/>
              <w:jc w:val="both"/>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提供的本项目售后服务方案（包括但不限于：售后服务承诺、维护响应计划，包括具体的售后服务内容、故障响应时间、响应方式时间等方面）对</w:t>
            </w:r>
            <w:r>
              <w:rPr>
                <w:rFonts w:hint="eastAsia" w:ascii="宋体" w:hAnsi="宋体" w:eastAsia="宋体" w:cs="宋体"/>
                <w:sz w:val="24"/>
                <w:szCs w:val="24"/>
                <w:highlight w:val="none"/>
                <w:lang w:eastAsia="zh-CN"/>
              </w:rPr>
              <w:t>采购公告</w:t>
            </w:r>
            <w:r>
              <w:rPr>
                <w:rFonts w:hint="eastAsia" w:ascii="宋体" w:hAnsi="宋体" w:eastAsia="宋体" w:cs="宋体"/>
                <w:sz w:val="24"/>
                <w:szCs w:val="24"/>
                <w:highlight w:val="none"/>
              </w:rPr>
              <w:t>的响应及技术支撑情况进行评分：方案包含的要点齐全无缺漏项、内容与要点相符、内容完善且能够适用于本项目的得3分；方案包含的要点齐全、内容与要点相符，但仅有纲要内容简略，未展开阐述的得2分；方案所包含的要点有缺漏或内容存在错误的得1分，未提供的本项不得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六、其他事项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踏勘现场：供应商可自行到现场踏勘，充分了解实验室现场条件、吊装、管路走向，踏勘费用自理，视为完全理解全部施工条件。</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报价文件必须逐条响应条款，负偏离作无效报价处理。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争议解决：向采购单位所在地人民法院提起诉讼。</w:t>
      </w:r>
    </w:p>
    <w:sectPr>
      <w:pgSz w:w="11906" w:h="16838"/>
      <w:pgMar w:top="1440" w:right="1633"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27CB1"/>
    <w:rsid w:val="00B37818"/>
    <w:rsid w:val="037759DB"/>
    <w:rsid w:val="06A22783"/>
    <w:rsid w:val="07C75183"/>
    <w:rsid w:val="0A2746C6"/>
    <w:rsid w:val="0A2D5046"/>
    <w:rsid w:val="0AE47DFA"/>
    <w:rsid w:val="1600192A"/>
    <w:rsid w:val="17940C4F"/>
    <w:rsid w:val="18DB7D2A"/>
    <w:rsid w:val="1C8B27CB"/>
    <w:rsid w:val="1F047350"/>
    <w:rsid w:val="21C06E86"/>
    <w:rsid w:val="23C91E2B"/>
    <w:rsid w:val="24E46F1D"/>
    <w:rsid w:val="28041684"/>
    <w:rsid w:val="28C7697B"/>
    <w:rsid w:val="2B397896"/>
    <w:rsid w:val="2BDF043E"/>
    <w:rsid w:val="2CDC4950"/>
    <w:rsid w:val="2D957BDB"/>
    <w:rsid w:val="30935AF8"/>
    <w:rsid w:val="33C65A3F"/>
    <w:rsid w:val="38514471"/>
    <w:rsid w:val="38BB5D8F"/>
    <w:rsid w:val="39E66E3B"/>
    <w:rsid w:val="39EA7C09"/>
    <w:rsid w:val="3A4818A4"/>
    <w:rsid w:val="3A8A00E5"/>
    <w:rsid w:val="3B5E3D8C"/>
    <w:rsid w:val="3CE42559"/>
    <w:rsid w:val="3CFC0724"/>
    <w:rsid w:val="3E5E789E"/>
    <w:rsid w:val="3FFF3E25"/>
    <w:rsid w:val="45005731"/>
    <w:rsid w:val="477111F6"/>
    <w:rsid w:val="49997A26"/>
    <w:rsid w:val="4A050C18"/>
    <w:rsid w:val="4F3F2E1E"/>
    <w:rsid w:val="4FA044FB"/>
    <w:rsid w:val="50F9524E"/>
    <w:rsid w:val="534E1B19"/>
    <w:rsid w:val="567457B2"/>
    <w:rsid w:val="5A117165"/>
    <w:rsid w:val="633C1534"/>
    <w:rsid w:val="64F16511"/>
    <w:rsid w:val="663A2F15"/>
    <w:rsid w:val="666920D7"/>
    <w:rsid w:val="682668A4"/>
    <w:rsid w:val="6CAE2F39"/>
    <w:rsid w:val="74793E2D"/>
    <w:rsid w:val="772546C4"/>
    <w:rsid w:val="775D17E4"/>
    <w:rsid w:val="7AB75A56"/>
    <w:rsid w:val="7E520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character" w:styleId="7">
    <w:name w:val="Strong"/>
    <w:basedOn w:val="6"/>
    <w:qFormat/>
    <w:uiPriority w:val="0"/>
    <w:rPr>
      <w:b/>
    </w:r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5038</Words>
  <Characters>5868</Characters>
  <Lines>0</Lines>
  <Paragraphs>0</Paragraphs>
  <TotalTime>40</TotalTime>
  <ScaleCrop>false</ScaleCrop>
  <LinksUpToDate>false</LinksUpToDate>
  <CharactersWithSpaces>5993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2026-09-21T03:49:00Z</dcterms:created>
  <dc:creator>Administrator</dc:creator>
  <cp:lastModifiedBy>Administrator</cp:lastModifiedBy>
  <dcterms:modified xsi:type="dcterms:W3CDTF">2026-10-19T02:52:26Z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eyJoZGlkIjoiYzA3YjcwNzcwZmQ1N2ZiYWI1ZTE4ZDNlMGYxNGQyYzAiLCJ1c2VySWQiOiI2NDI5MzY3NDQifQ==</vt:lpwstr>
  </property>
  <property fmtid="{D5CDD505-2E9C-101B-9397-08002B2CF9AE}" pid="4" name="ICV">
    <vt:lpwstr>DDDCE1DF2D944733914514F687322E7F_12</vt:lpwstr>
  </property>
</Properties>
</file>