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附件1：</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843" w:firstLineChars="3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项目名称：真菌蛋白实验室空调采购及安装项目</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预算金额：￥</w:t>
      </w:r>
      <w:r>
        <w:rPr>
          <w:rFonts w:hint="eastAsia" w:ascii="宋体" w:hAnsi="宋体" w:eastAsia="宋体" w:cs="宋体"/>
          <w:sz w:val="24"/>
          <w:szCs w:val="24"/>
          <w:u w:val="single"/>
          <w:lang w:val="en-US" w:eastAsia="zh-CN"/>
        </w:rPr>
        <w:t>270000</w:t>
      </w:r>
      <w:r>
        <w:rPr>
          <w:rFonts w:hint="eastAsia" w:ascii="宋体" w:hAnsi="宋体" w:eastAsia="宋体" w:cs="宋体"/>
          <w:sz w:val="24"/>
          <w:szCs w:val="24"/>
          <w:lang w:eastAsia="zh-CN"/>
        </w:rPr>
        <w:t>元；最高限价：￥</w:t>
      </w:r>
      <w:r>
        <w:rPr>
          <w:rFonts w:hint="eastAsia" w:ascii="宋体" w:hAnsi="宋体" w:eastAsia="宋体" w:cs="宋体"/>
          <w:sz w:val="24"/>
          <w:szCs w:val="24"/>
          <w:u w:val="single"/>
          <w:lang w:val="en-US" w:eastAsia="zh-CN"/>
        </w:rPr>
        <w:t>270000</w:t>
      </w:r>
      <w:r>
        <w:rPr>
          <w:rFonts w:hint="eastAsia" w:ascii="宋体" w:hAnsi="宋体" w:eastAsia="宋体" w:cs="宋体"/>
          <w:sz w:val="24"/>
          <w:szCs w:val="24"/>
          <w:lang w:eastAsia="zh-CN"/>
        </w:rPr>
        <w:t>元，投标报价超过限价无效。</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采购内容：多联机中央空调系统（室外主机 + 多台室内机），包含机组、冷媒铜管、保温、冷凝水管、控制线、支架、减震、线管、空开、面板控制器、吊装、运输、吊装、调试、检漏、抽真空、充注冷媒、竣工资料、操作培训、质保维保等全部内容，总价包干，采购人不再支付任何额外费用。</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交货安装地点：福建师范大学泉港石化研究院真菌蛋白实验室（采购人指定点位）</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5、</w:t>
      </w:r>
      <w:r>
        <w:rPr>
          <w:rFonts w:hint="eastAsia" w:ascii="宋体" w:hAnsi="宋体" w:eastAsia="宋体" w:cs="宋体"/>
          <w:sz w:val="24"/>
          <w:szCs w:val="24"/>
          <w:lang w:eastAsia="zh-CN"/>
        </w:rPr>
        <w:t>合同履行期限：合同签订后</w:t>
      </w:r>
      <w:r>
        <w:rPr>
          <w:rFonts w:hint="eastAsia" w:ascii="宋体" w:hAnsi="宋体" w:eastAsia="宋体" w:cs="宋体"/>
          <w:sz w:val="24"/>
          <w:szCs w:val="24"/>
          <w:lang w:val="en-US" w:eastAsia="zh-CN"/>
        </w:rPr>
        <w:t>15</w:t>
      </w:r>
      <w:r>
        <w:rPr>
          <w:rFonts w:hint="eastAsia" w:ascii="宋体" w:hAnsi="宋体" w:eastAsia="宋体" w:cs="宋体"/>
          <w:sz w:val="24"/>
          <w:szCs w:val="24"/>
          <w:lang w:eastAsia="zh-CN"/>
        </w:rPr>
        <w:t>日历天内完成到货、安装、系统调试、竣工验收。逾期视为违约。</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843" w:firstLineChars="3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二、投标人资格要求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满足《政府采购法》第二十二条，独立法人，营业执照有效；具备健全财务制度、依法缴纳税收和社保，具备空调系统安装施工能力。</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信用查询：未列入信用中国、中国政府采购网失信被执行人、重大税收违法失信主体、政府采购严重违法失信名单。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安装人员须具备空调特种作业操作证。</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843" w:firstLineChars="300"/>
        <w:textAlignment w:val="auto"/>
        <w:rPr>
          <w:rFonts w:hint="eastAsia" w:ascii="宋体" w:hAnsi="宋体" w:eastAsia="宋体" w:cs="宋体"/>
          <w:b/>
          <w:bCs/>
          <w:sz w:val="28"/>
          <w:szCs w:val="28"/>
          <w:lang w:eastAsia="zh-CN"/>
        </w:rPr>
      </w:pPr>
      <w:r>
        <w:rPr>
          <w:rFonts w:hint="eastAsia" w:ascii="宋体" w:hAnsi="宋体" w:eastAsia="宋体" w:cs="宋体"/>
          <w:b/>
          <w:bCs/>
          <w:sz w:val="28"/>
          <w:szCs w:val="28"/>
          <w:lang w:eastAsia="zh-CN"/>
        </w:rPr>
        <w:t>三、技术需求</w:t>
      </w:r>
    </w:p>
    <w:p>
      <w:pPr>
        <w:jc w:val="left"/>
        <w:rPr>
          <w:rFonts w:hint="eastAsia" w:ascii="宋体" w:hAnsi="宋体" w:eastAsia="宋体" w:cs="宋体"/>
          <w:b/>
          <w:bCs/>
          <w:color w:val="000000" w:themeColor="text1"/>
          <w:sz w:val="24"/>
          <w:szCs w:val="24"/>
          <w:lang w:val="zh-CN"/>
          <w14:textFill>
            <w14:solidFill>
              <w14:schemeClr w14:val="tx1"/>
            </w14:solidFill>
          </w14:textFill>
        </w:rPr>
      </w:pPr>
      <w:r>
        <w:rPr>
          <w:rFonts w:hint="eastAsia" w:ascii="宋体" w:hAnsi="宋体" w:eastAsia="宋体" w:cs="宋体"/>
          <w:b w:val="0"/>
          <w:bCs w:val="0"/>
          <w:color w:val="000000" w:themeColor="text1"/>
          <w:sz w:val="24"/>
          <w:szCs w:val="24"/>
          <w:lang w:val="en-US" w:eastAsia="zh-CN"/>
          <w14:textFill>
            <w14:solidFill>
              <w14:schemeClr w14:val="tx1"/>
            </w14:solidFill>
          </w14:textFill>
        </w:rPr>
        <w:t>1</w:t>
      </w:r>
      <w:r>
        <w:rPr>
          <w:rFonts w:hint="eastAsia" w:ascii="宋体" w:hAnsi="宋体" w:eastAsia="宋体" w:cs="宋体"/>
          <w:b w:val="0"/>
          <w:bCs w:val="0"/>
          <w:color w:val="000000" w:themeColor="text1"/>
          <w:sz w:val="24"/>
          <w:szCs w:val="24"/>
          <w:lang w:val="zh-CN"/>
          <w14:textFill>
            <w14:solidFill>
              <w14:schemeClr w14:val="tx1"/>
            </w14:solidFill>
          </w14:textFill>
        </w:rPr>
        <w:t>、技术和服务要求(</w:t>
      </w:r>
      <w:r>
        <w:rPr>
          <w:rFonts w:hint="eastAsia" w:ascii="宋体" w:hAnsi="宋体" w:eastAsia="宋体" w:cs="宋体"/>
          <w:b w:val="0"/>
          <w:bCs w:val="0"/>
          <w:color w:val="000000" w:themeColor="text1"/>
          <w:sz w:val="24"/>
          <w:szCs w:val="24"/>
          <w:lang w:val="zh-CN" w:eastAsia="zh-CN"/>
          <w14:textFill>
            <w14:solidFill>
              <w14:schemeClr w14:val="tx1"/>
            </w14:solidFill>
          </w14:textFill>
        </w:rPr>
        <w:t>以下参数</w:t>
      </w:r>
      <w:r>
        <w:rPr>
          <w:rFonts w:hint="eastAsia" w:ascii="宋体" w:hAnsi="宋体" w:eastAsia="宋体" w:cs="宋体"/>
          <w:b w:val="0"/>
          <w:bCs w:val="0"/>
          <w:color w:val="000000" w:themeColor="text1"/>
          <w:sz w:val="24"/>
          <w:szCs w:val="24"/>
          <w:lang w:val="zh-CN"/>
          <w14:textFill>
            <w14:solidFill>
              <w14:schemeClr w14:val="tx1"/>
            </w14:solidFill>
          </w14:textFill>
        </w:rPr>
        <w:t>内容为不允许负偏离的实质性要求</w:t>
      </w:r>
      <w:r>
        <w:rPr>
          <w:rFonts w:hint="eastAsia" w:ascii="宋体" w:hAnsi="宋体" w:eastAsia="宋体" w:cs="宋体"/>
          <w:b/>
          <w:bCs/>
          <w:color w:val="000000" w:themeColor="text1"/>
          <w:sz w:val="24"/>
          <w:szCs w:val="24"/>
          <w:lang w:val="zh-CN"/>
          <w14:textFill>
            <w14:solidFill>
              <w14:schemeClr w14:val="tx1"/>
            </w14:solidFill>
          </w14:textFill>
        </w:rPr>
        <w:t>)</w:t>
      </w:r>
    </w:p>
    <w:p>
      <w:pPr>
        <w:jc w:val="left"/>
        <w:rPr>
          <w:rFonts w:hint="eastAsia" w:ascii="宋体" w:hAnsi="宋体" w:eastAsia="宋体" w:cs="宋体"/>
          <w:b/>
          <w:bCs/>
          <w:color w:val="000000" w:themeColor="text1"/>
          <w:sz w:val="24"/>
          <w:szCs w:val="24"/>
          <w:lang w:val="zh-CN"/>
          <w14:textFill>
            <w14:solidFill>
              <w14:schemeClr w14:val="tx1"/>
            </w14:solidFill>
          </w14:textFill>
        </w:rPr>
      </w:pPr>
    </w:p>
    <w:p>
      <w:pPr>
        <w:jc w:val="left"/>
        <w:rPr>
          <w:rFonts w:hint="eastAsia" w:ascii="宋体" w:hAnsi="宋体" w:eastAsia="宋体" w:cs="宋体"/>
          <w:b/>
          <w:bCs/>
          <w:color w:val="000000" w:themeColor="text1"/>
          <w:sz w:val="24"/>
          <w:szCs w:val="24"/>
          <w:lang w:val="zh-CN"/>
          <w14:textFill>
            <w14:solidFill>
              <w14:schemeClr w14:val="tx1"/>
            </w14:solidFill>
          </w14:textFill>
        </w:rPr>
      </w:pPr>
    </w:p>
    <w:p>
      <w:pPr>
        <w:jc w:val="left"/>
        <w:rPr>
          <w:rFonts w:hint="eastAsia" w:ascii="宋体" w:hAnsi="宋体" w:eastAsia="宋体" w:cs="宋体"/>
          <w:b/>
          <w:bCs/>
          <w:color w:val="000000" w:themeColor="text1"/>
          <w:sz w:val="24"/>
          <w:szCs w:val="24"/>
          <w:lang w:val="zh-CN"/>
          <w14:textFill>
            <w14:solidFill>
              <w14:schemeClr w14:val="tx1"/>
            </w14:solidFill>
          </w14:textFill>
        </w:rPr>
      </w:pPr>
    </w:p>
    <w:p>
      <w:pPr>
        <w:jc w:val="left"/>
        <w:rPr>
          <w:rFonts w:hint="eastAsia" w:ascii="宋体" w:hAnsi="宋体" w:eastAsia="宋体" w:cs="宋体"/>
          <w:b/>
          <w:bCs/>
          <w:color w:val="000000" w:themeColor="text1"/>
          <w:sz w:val="24"/>
          <w:szCs w:val="24"/>
          <w:lang w:val="en-US" w:eastAsia="zh-CN"/>
          <w14:textFill>
            <w14:solidFill>
              <w14:schemeClr w14:val="tx1"/>
            </w14:solidFill>
          </w14:textFill>
        </w:rPr>
      </w:pPr>
    </w:p>
    <w:tbl>
      <w:tblPr>
        <w:tblStyle w:val="4"/>
        <w:tblW w:w="9690" w:type="dxa"/>
        <w:tblInd w:w="-547"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05"/>
        <w:gridCol w:w="1290"/>
        <w:gridCol w:w="6195"/>
        <w:gridCol w:w="750"/>
        <w:gridCol w:w="75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420" w:hRule="atLeast"/>
        </w:trPr>
        <w:tc>
          <w:tcPr>
            <w:tcW w:w="9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一、净化区域空调多联机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设备名称</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2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全直流变频主机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1、制冷量≥85KW，制热量≥95KW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2、制冷功率≤22.76 ，制热功率≤22.7</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3、IPLV(C)≥8.4 ， APF≥4.8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4、循环风量(m³/h)≥29000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5、噪音值(dB(A))≤64，直流变频涡旋</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3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1、制冷量≥2.2KW ， 制热量≥2.6KW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2、额定电流(A)≤0.27 ， 额定功率(W)≤22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3、循环风量(m³/h)≥420 ， 机外静压(Pa)≤30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4、噪音值(dB(A))≤28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1、制冷量≥2.5KW，制热量≥2.8KW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2、额定电流(A)≤0.33，额定功率(W)≤28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3、循环风量(m³/h)≥460，机外静压(Pa)≤30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4、噪音值(dB(A))≤30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1、制冷量≥2.8KW，制热量≥3.2KW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2、额定电流(A)≤0.33，额定功率(W)≤28</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3、循环风量(m³/h)≥460 ，机外静压(Pa)≤30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4、噪音值(dB(A))≤30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1、制冷量≥4.0KW，制热量≥4.5KW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2、额定电流(A)≤0.47，额定功率(W)≤52</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3、循环风量(m³/h)≥700，机外静压(Pa)≤30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4、噪音值(dB(A))≤34</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1、制冷量≥4.5KW，制热量≥5.0KW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2、额定电流(A)≤0.8，额定功率(W)≤80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3、循环风量(m³/h)≥790，机外静压(Pa)≤30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4、噪音值(dB(A))≤36.5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1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风管式内机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1、制冷量≥6.3KW，制热量≥7.1KW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2、额定电流(A)≤0.91，额定功率(W)≤103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3、循环风量(m³/h)≥1100，机外静压(Pa)≤50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4、噪音值(dB(A))≤38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11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天花式内机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1、制冷量≥6.3KW，制热量≥7.1KW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2、额定电流(A)≤0.37，额定功率(W)≤39</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4、循环风量(m³/h)≥1000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5、噪音值(dB(A))≤37</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1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9</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天花式内机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1、制冷量≥9.0KW，制热量≥10KW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2、额定电流(A)≤0.45，额定功率(W)≤43</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3、循环风量(m³/h)≥1330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4、噪音值(dB(A))≤38</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线控器</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空调控制面板</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2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全热交换器</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1、循环风量(m³/h)≥5000  机外余压(Pa)≥250</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2、输入功率（KW)≤4.9 噪音值(dB(A))≤65</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3、制冷效率≥79％  制热效率≥80％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9690"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二、非净化区域壁挂空调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序号</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设备名称</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技术参数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单位</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16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十匹一拖二天花机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1、内机： 制冷量≥12.5KW，制热量≥14KW，额定电流(A)≤0.75，额定功率(KW)≤0.085，循环风量(m³/h)≥1730 ，噪音值(dB(A))≤44</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2、外机：制冷量≥25KW，制热量≥28KW，制冷功率≤8.2KW，制热功率≤7.85KW，APF≥4.8，循环风量(m³/h)≥11000，噪音值(dB(A))≤60</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台</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4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三匹挂机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u w:val="none"/>
              </w:rPr>
            </w:pPr>
            <w:r>
              <w:rPr>
                <w:rFonts w:hint="eastAsia" w:ascii="宋体" w:hAnsi="宋体" w:eastAsia="宋体" w:cs="宋体"/>
                <w:i w:val="0"/>
                <w:iCs w:val="0"/>
                <w:color w:val="auto"/>
                <w:kern w:val="0"/>
                <w:sz w:val="24"/>
                <w:szCs w:val="24"/>
                <w:u w:val="none"/>
                <w:lang w:val="en-US" w:eastAsia="zh-CN" w:bidi="ar"/>
              </w:rPr>
              <w:t xml:space="preserve">1、APF值≥4.52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2、制冷量≥7360W，制热量≥10000W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3、额定制冷功率(W)≤1950 W，额定制热功率(W)≤2930 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4、制冷季节耗电量≤827/kW·h，制热季节耗电量≤726/kW·h</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5、电辅热功率≥12000W</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 xml:space="preserve">6、循环风量(m³/h)≥1400 m³/h  </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u w:val="none"/>
                <w:lang w:val="en-US" w:eastAsia="zh-CN" w:bidi="ar"/>
              </w:rPr>
              <w:t>7、室内机噪音(dB(A))≤47</w:t>
            </w:r>
            <w:r>
              <w:rPr>
                <w:rFonts w:hint="eastAsia" w:ascii="宋体" w:hAnsi="宋体" w:eastAsia="宋体" w:cs="宋体"/>
                <w:i w:val="0"/>
                <w:iCs w:val="0"/>
                <w:color w:val="auto"/>
                <w:kern w:val="0"/>
                <w:sz w:val="24"/>
                <w:szCs w:val="24"/>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8、含3米铜管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highlight w:val="none"/>
                <w:u w:val="none"/>
              </w:rPr>
            </w:pPr>
            <w:r>
              <w:rPr>
                <w:rFonts w:hint="eastAsia" w:ascii="宋体" w:hAnsi="宋体" w:eastAsia="宋体" w:cs="宋体"/>
                <w:i w:val="0"/>
                <w:iCs w:val="0"/>
                <w:color w:val="000000"/>
                <w:kern w:val="0"/>
                <w:sz w:val="24"/>
                <w:szCs w:val="24"/>
                <w:highlight w:val="none"/>
                <w:u w:val="none"/>
                <w:lang w:val="en-US" w:eastAsia="zh-CN" w:bidi="ar"/>
              </w:rPr>
              <w:t>3</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二匹挂机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auto"/>
                <w:sz w:val="24"/>
                <w:szCs w:val="24"/>
                <w:highlight w:val="none"/>
                <w:u w:val="none"/>
              </w:rPr>
            </w:pPr>
            <w:r>
              <w:rPr>
                <w:rFonts w:hint="eastAsia" w:ascii="宋体" w:hAnsi="宋体" w:eastAsia="宋体" w:cs="宋体"/>
                <w:i w:val="0"/>
                <w:iCs w:val="0"/>
                <w:color w:val="auto"/>
                <w:kern w:val="0"/>
                <w:sz w:val="24"/>
                <w:szCs w:val="24"/>
                <w:highlight w:val="none"/>
                <w:u w:val="none"/>
                <w:lang w:val="en-US" w:eastAsia="zh-CN" w:bidi="ar"/>
              </w:rPr>
              <w:t xml:space="preserve">1、APF值≥4.81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2、制冷量≥5060W ，制热量≥7260 W              3、额定制冷功率(W)≤ 1350 W， 额定制热功率(W)≤2000 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4、制冷季节耗电量≤553/kW·h，制热季节耗电量≤451/kW·h</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5、电辅热功率≥850W</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 xml:space="preserve">6、循环风量(m³/h)≥1100 m³/h  </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7、室内机噪音(dB(A))≤43</w:t>
            </w:r>
            <w:r>
              <w:rPr>
                <w:rFonts w:hint="eastAsia" w:ascii="宋体" w:hAnsi="宋体" w:eastAsia="宋体" w:cs="宋体"/>
                <w:i w:val="0"/>
                <w:iCs w:val="0"/>
                <w:color w:val="auto"/>
                <w:kern w:val="0"/>
                <w:sz w:val="24"/>
                <w:szCs w:val="24"/>
                <w:highlight w:val="none"/>
                <w:u w:val="none"/>
                <w:lang w:val="en-US" w:eastAsia="zh-CN" w:bidi="ar"/>
              </w:rPr>
              <w:br w:type="textWrapping"/>
            </w:r>
            <w:r>
              <w:rPr>
                <w:rFonts w:hint="eastAsia" w:ascii="宋体" w:hAnsi="宋体" w:eastAsia="宋体" w:cs="宋体"/>
                <w:i w:val="0"/>
                <w:iCs w:val="0"/>
                <w:color w:val="auto"/>
                <w:kern w:val="0"/>
                <w:sz w:val="24"/>
                <w:szCs w:val="24"/>
                <w:highlight w:val="none"/>
                <w:u w:val="none"/>
                <w:lang w:val="en-US" w:eastAsia="zh-CN" w:bidi="ar"/>
              </w:rPr>
              <w:t>8、含3米铜管</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565"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3匹一拖一天花机</w:t>
            </w:r>
          </w:p>
        </w:tc>
        <w:tc>
          <w:tcPr>
            <w:tcW w:w="61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1、APF值≥4.32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2、制冷量≥7500W，制热量≥9500 W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3、额定制冷功率(W)≤ 2600W，额定制热功率(W)≤3000 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4、制冷季节耗电量≤1229/kW·h，制热季节耗电量≤1388/kW·h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5、电辅热功率≥2000W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6、循环风量(m³/h)≥1350m³/h</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7、噪音值(dB(A))≤45</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套</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70" w:hRule="atLeast"/>
        </w:trPr>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2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线控器，遥控器</w:t>
            </w:r>
          </w:p>
        </w:tc>
        <w:tc>
          <w:tcPr>
            <w:tcW w:w="61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空调控制面板、遥控器</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件</w:t>
            </w:r>
          </w:p>
        </w:tc>
        <w:tc>
          <w:tcPr>
            <w:tcW w:w="7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10</w:t>
            </w:r>
          </w:p>
        </w:tc>
      </w:tr>
    </w:tbl>
    <w:p>
      <w:pPr>
        <w:rPr>
          <w:rFonts w:hint="eastAsia" w:ascii="宋体" w:hAnsi="宋体" w:eastAsia="宋体" w:cs="宋体"/>
          <w:sz w:val="24"/>
          <w:szCs w:val="24"/>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说明：1）、以上设备含安装、调试；</w:t>
      </w:r>
    </w:p>
    <w:p>
      <w:pPr>
        <w:keepNext w:val="0"/>
        <w:keepLines w:val="0"/>
        <w:pageBreakBefore w:val="0"/>
        <w:widowControl w:val="0"/>
        <w:kinsoku/>
        <w:wordWrap/>
        <w:overflowPunct/>
        <w:topLinePunct w:val="0"/>
        <w:autoSpaceDE/>
        <w:autoSpaceDN/>
        <w:bidi w:val="0"/>
        <w:adjustRightInd/>
        <w:snapToGrid/>
        <w:spacing w:line="480" w:lineRule="auto"/>
        <w:ind w:firstLine="1200" w:firstLineChars="5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2）、非洁净区部分挂机空调包含3米铜管，若部分超过3米的铜管按120元/米（含安装）采购另外结算。</w:t>
      </w:r>
    </w:p>
    <w:p>
      <w:pPr>
        <w:keepNext w:val="0"/>
        <w:keepLines w:val="0"/>
        <w:pageBreakBefore w:val="0"/>
        <w:widowControl w:val="0"/>
        <w:numPr>
          <w:numId w:val="0"/>
        </w:numPr>
        <w:kinsoku/>
        <w:wordWrap/>
        <w:overflowPunct/>
        <w:topLinePunct w:val="0"/>
        <w:autoSpaceDE/>
        <w:autoSpaceDN/>
        <w:bidi w:val="0"/>
        <w:adjustRightInd/>
        <w:snapToGrid/>
        <w:spacing w:line="480" w:lineRule="auto"/>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功能要求</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供应商所投变频多联空调室内机、室外机（选型适配室内机制冷量的室外机）与压缩机为同一品牌。</w:t>
      </w:r>
      <w:r>
        <w:rPr>
          <w:rFonts w:hint="eastAsia" w:ascii="宋体" w:hAnsi="宋体" w:eastAsia="宋体" w:cs="宋体"/>
          <w:sz w:val="24"/>
          <w:szCs w:val="24"/>
          <w:lang w:eastAsia="zh-CN"/>
        </w:rPr>
        <w:t>同一品牌认定如下：①压缩机产地为中国大陆的，需提供中国质量认证中心的压缩机产品认证证书，提交与所投压缩机品牌名称一致的压缩机制造厂家在全国认证认可信息公共服务平台网站（http://cx.cnca.cn/CertECloud/index/index/page）查询结果的截图佐证，其中产品类别需体现“变频涡旋压缩机”且查询结果中认证委托人与生产者（制造商）必须一致；②压缩机产地为中国大陆以外的，需提供近2年内的压缩机进口报关单证明材料及所投设备整机受控压缩机部件的节能试验报告，</w:t>
      </w:r>
      <w:r>
        <w:rPr>
          <w:rFonts w:hint="eastAsia" w:ascii="宋体" w:hAnsi="宋体" w:eastAsia="宋体" w:cs="宋体"/>
          <w:sz w:val="24"/>
          <w:szCs w:val="24"/>
          <w:highlight w:val="none"/>
          <w:lang w:eastAsia="zh-CN"/>
        </w:rPr>
        <w:t>证明材料中圈出“压缩机”型号及品牌（进口报关单及节能试验报告中涉及的制造商（生产商）、品牌、型号必须一致）。</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highlight w:val="none"/>
          <w:lang w:eastAsia="zh-CN"/>
        </w:rPr>
      </w:pP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供应商所投变频智能多联室外机机组系列在长时间正常运转工作后，若出现室外机风轮积灰或有杂物影响散热排气的情况，机组室外机会自动启动室外机风扇，反向运行 1分钟，清洁换热器灰尘，使机组恢复到正常工作状态，</w:t>
      </w:r>
      <w:r>
        <w:rPr>
          <w:rFonts w:hint="eastAsia" w:ascii="宋体" w:hAnsi="宋体" w:eastAsia="宋体" w:cs="宋体"/>
          <w:sz w:val="24"/>
          <w:szCs w:val="24"/>
          <w:highlight w:val="none"/>
        </w:rPr>
        <w:t>（须提供第三方权威</w:t>
      </w:r>
      <w:r>
        <w:rPr>
          <w:rFonts w:hint="eastAsia" w:ascii="宋体" w:hAnsi="宋体" w:eastAsia="宋体" w:cs="宋体"/>
          <w:sz w:val="24"/>
          <w:szCs w:val="24"/>
          <w:highlight w:val="none"/>
          <w:lang w:eastAsia="zh-CN"/>
        </w:rPr>
        <w:t>检测</w:t>
      </w:r>
      <w:r>
        <w:rPr>
          <w:rFonts w:hint="eastAsia" w:ascii="宋体" w:hAnsi="宋体" w:eastAsia="宋体" w:cs="宋体"/>
          <w:sz w:val="24"/>
          <w:szCs w:val="24"/>
          <w:highlight w:val="none"/>
        </w:rPr>
        <w:t>机构出具的检测报告</w:t>
      </w:r>
      <w:r>
        <w:rPr>
          <w:rFonts w:hint="eastAsia" w:ascii="宋体" w:hAnsi="宋体" w:eastAsia="宋体" w:cs="宋体"/>
          <w:sz w:val="24"/>
          <w:szCs w:val="24"/>
          <w:highlight w:val="none"/>
          <w:lang w:eastAsia="zh-CN"/>
        </w:rPr>
        <w:t>复印件或</w:t>
      </w:r>
      <w:r>
        <w:rPr>
          <w:rFonts w:hint="eastAsia" w:ascii="宋体" w:hAnsi="宋体" w:eastAsia="宋体" w:cs="宋体"/>
          <w:sz w:val="24"/>
          <w:szCs w:val="24"/>
          <w:highlight w:val="none"/>
        </w:rPr>
        <w:t>扫描件</w:t>
      </w:r>
      <w:r>
        <w:rPr>
          <w:rFonts w:hint="eastAsia" w:ascii="宋体" w:hAnsi="宋体" w:eastAsia="宋体" w:cs="宋体"/>
          <w:sz w:val="24"/>
          <w:szCs w:val="24"/>
          <w:highlight w:val="none"/>
          <w:lang w:eastAsia="zh-CN"/>
        </w:rPr>
        <w:t>，原件备查</w:t>
      </w:r>
      <w:r>
        <w:rPr>
          <w:rFonts w:hint="eastAsia" w:ascii="宋体" w:hAnsi="宋体" w:eastAsia="宋体" w:cs="宋体"/>
          <w:sz w:val="24"/>
          <w:szCs w:val="24"/>
          <w:highlight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color w:val="000000"/>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供应商所投变频智能多联室外机机组系列具备在机组运行稳定状况下，若是遇到火灾等消防事故，机组在接收到信号后应能进入对应的响应状态防止机组出现串火或过火的情况，</w:t>
      </w:r>
      <w:r>
        <w:rPr>
          <w:rFonts w:hint="eastAsia" w:ascii="宋体" w:hAnsi="宋体" w:eastAsia="宋体" w:cs="宋体"/>
          <w:sz w:val="24"/>
          <w:szCs w:val="24"/>
          <w:highlight w:val="none"/>
        </w:rPr>
        <w:t>（须提供第三方权威</w:t>
      </w:r>
      <w:r>
        <w:rPr>
          <w:rFonts w:hint="eastAsia" w:ascii="宋体" w:hAnsi="宋体" w:eastAsia="宋体" w:cs="宋体"/>
          <w:sz w:val="24"/>
          <w:szCs w:val="24"/>
          <w:highlight w:val="none"/>
          <w:lang w:eastAsia="zh-CN"/>
        </w:rPr>
        <w:t>检测</w:t>
      </w:r>
      <w:r>
        <w:rPr>
          <w:rFonts w:hint="eastAsia" w:ascii="宋体" w:hAnsi="宋体" w:eastAsia="宋体" w:cs="宋体"/>
          <w:sz w:val="24"/>
          <w:szCs w:val="24"/>
          <w:highlight w:val="none"/>
        </w:rPr>
        <w:t>机构出具的检测报告</w:t>
      </w:r>
      <w:r>
        <w:rPr>
          <w:rFonts w:hint="eastAsia" w:ascii="宋体" w:hAnsi="宋体" w:eastAsia="宋体" w:cs="宋体"/>
          <w:sz w:val="24"/>
          <w:szCs w:val="24"/>
          <w:highlight w:val="none"/>
          <w:lang w:eastAsia="zh-CN"/>
        </w:rPr>
        <w:t>复印件或</w:t>
      </w:r>
      <w:r>
        <w:rPr>
          <w:rFonts w:hint="eastAsia" w:ascii="宋体" w:hAnsi="宋体" w:eastAsia="宋体" w:cs="宋体"/>
          <w:sz w:val="24"/>
          <w:szCs w:val="24"/>
          <w:highlight w:val="none"/>
        </w:rPr>
        <w:t>扫描件</w:t>
      </w:r>
      <w:r>
        <w:rPr>
          <w:rFonts w:hint="eastAsia" w:ascii="宋体" w:hAnsi="宋体" w:eastAsia="宋体" w:cs="宋体"/>
          <w:sz w:val="24"/>
          <w:szCs w:val="24"/>
          <w:highlight w:val="none"/>
          <w:lang w:eastAsia="zh-CN"/>
        </w:rPr>
        <w:t>，原件备查</w:t>
      </w:r>
      <w:r>
        <w:rPr>
          <w:rFonts w:hint="eastAsia" w:ascii="宋体" w:hAnsi="宋体" w:eastAsia="宋体" w:cs="宋体"/>
          <w:sz w:val="24"/>
          <w:szCs w:val="24"/>
          <w:highlight w:val="none"/>
        </w:rPr>
        <w:t>）</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宋体" w:hAnsi="宋体" w:eastAsia="宋体" w:cs="宋体"/>
          <w:b/>
          <w:bCs/>
          <w:kern w:val="2"/>
          <w:sz w:val="28"/>
          <w:szCs w:val="28"/>
          <w:highlight w:val="none"/>
          <w:lang w:val="en-US" w:eastAsia="zh-CN" w:bidi="ar-SA"/>
        </w:rPr>
      </w:pPr>
      <w:r>
        <w:rPr>
          <w:rFonts w:hint="eastAsia" w:ascii="宋体" w:hAnsi="宋体" w:eastAsia="宋体" w:cs="宋体"/>
          <w:b/>
          <w:bCs/>
          <w:kern w:val="2"/>
          <w:sz w:val="28"/>
          <w:szCs w:val="28"/>
          <w:highlight w:val="none"/>
          <w:lang w:val="en-US" w:eastAsia="zh-CN" w:bidi="ar-SA"/>
        </w:rPr>
        <w:t>四、安装施工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1、全部冷媒铜管采用无缝紫铜管，橡塑保温厚度达标；所有铜管接口必须做氮气保压检漏、抽真空处理，保压试验合格后方可充注冷媒，必须提供保压记录。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2、管线排布整齐，固定牢固；冷凝水管坡度合理，排水通畅；外机支架做防腐防锈，加装减震垫。</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3、施工不得破坏原有建筑结构、实验室电路、通风管道、台面设备；施工垃圾全部由中标方清运出场。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4、电气施工符合国标，单独回路、配套空开，接地可靠；强弱电分离布线。</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5、系统完工后连续试运行不少于 24 小时，逐台内机测试制冷、制热、启停、排水功能。</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3" w:firstLineChars="300"/>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四、商务条款</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1、报价：固定总价包干，包含设备、运输、吊装、辅材、管线、检漏、抽真空、冷媒、安装调试、垃圾清运、培训、质保、保险等一切费用，合同履行期间除书面变更外不再调价。</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2、付款方式（事业单位标准）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3、无预付款；整套系统安装调试完成，试运行合格，完成竣工验收，提交全套资料及合规发票后，30 个工作日支付合同总价 95%；剩余 5% 作为质量保证金，质保期满无质量问题，无息一次性付清。</w:t>
      </w: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4、质保：整机原厂质保≥3 年，压缩机质保≥5 年，质保期自整体竣工验收合格之日起计算。质保期内免费上门维修、免费更换配件，不收人工费、配件费。接到报修2 小时响应，4 小时到场，24 小时内修复；重大故障 72 小时无法修复，免费更换整机。</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5、违约责任</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1）、逾期供货 / 安装，每日按合同总价 0.05% 支付违约金；逾期超过 15 天，采购人有权解除合同，没收履约保证金并索赔损失。</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2）设备品牌、型号、参数造假、翻新、不满足招标要求，采购人有权拒收、解除合同，没收履约保证金，上报政府采购不良记录。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3）知识产权：中标人保证设备不侵犯第三方知识产权，如产生纠纷全部责任由中标人承担。</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4）资料交付：验收时提交全套资料（纸质 + 电子版）：、能效备案、检测报告、使用说明书、原厂保修卡、竣工图纸、管线走向图、保压检漏记录、操作培训记录。</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五、其他事项</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踏勘现场：投标人可自行到现场踏勘，充分了解实验室现场条件、吊装、管路走向，踏勘费用自理，视为完全理解全部施工条件。</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投标文件必须逐条响应条款，负偏离作无效投标处理。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争议解决：向采购人所在地人民法院提起诉讼。</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六、开标信息</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投标截止时间：2026年10月11日17时30分</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开标时间：2026年10月12日</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开标地点：福建师范大学泉港石化研究院5楼会议室</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采购人：福建师范大学泉港石化研究院</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研究院联系人：陈树泉</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 xml:space="preserve"> 联系电话：0595-68179868</w:t>
      </w:r>
    </w:p>
    <w:p>
      <w:pPr>
        <w:keepNext w:val="0"/>
        <w:keepLines w:val="0"/>
        <w:pageBreakBefore w:val="0"/>
        <w:widowControl w:val="0"/>
        <w:numPr>
          <w:ilvl w:val="0"/>
          <w:numId w:val="0"/>
        </w:numPr>
        <w:kinsoku/>
        <w:wordWrap/>
        <w:overflowPunct/>
        <w:topLinePunct w:val="0"/>
        <w:autoSpaceDE/>
        <w:autoSpaceDN/>
        <w:bidi w:val="0"/>
        <w:adjustRightInd/>
        <w:snapToGrid/>
        <w:spacing w:line="480" w:lineRule="auto"/>
        <w:ind w:firstLine="720" w:firstLineChars="300"/>
        <w:textAlignment w:val="auto"/>
        <w:rPr>
          <w:rFonts w:hint="eastAsia" w:ascii="宋体" w:hAnsi="宋体" w:eastAsia="宋体" w:cs="宋体"/>
          <w:sz w:val="24"/>
          <w:szCs w:val="24"/>
          <w:lang w:eastAsia="zh-CN"/>
        </w:rPr>
      </w:pPr>
    </w:p>
    <w:sectPr>
      <w:pgSz w:w="11906" w:h="16838"/>
      <w:pgMar w:top="1440" w:right="1633" w:bottom="1440" w:left="157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27CB1"/>
    <w:rsid w:val="037759DB"/>
    <w:rsid w:val="07C75183"/>
    <w:rsid w:val="0A2D5046"/>
    <w:rsid w:val="0AE47DFA"/>
    <w:rsid w:val="17940C4F"/>
    <w:rsid w:val="18DB7D2A"/>
    <w:rsid w:val="21C06E86"/>
    <w:rsid w:val="23C91E2B"/>
    <w:rsid w:val="24E46F1D"/>
    <w:rsid w:val="28041684"/>
    <w:rsid w:val="2BDF043E"/>
    <w:rsid w:val="2D957BDB"/>
    <w:rsid w:val="30935AF8"/>
    <w:rsid w:val="33C65A3F"/>
    <w:rsid w:val="38514471"/>
    <w:rsid w:val="38BB5D8F"/>
    <w:rsid w:val="39E66E3B"/>
    <w:rsid w:val="39EA7C09"/>
    <w:rsid w:val="3A8A00E5"/>
    <w:rsid w:val="3CE42559"/>
    <w:rsid w:val="3CFC0724"/>
    <w:rsid w:val="3FFF3E25"/>
    <w:rsid w:val="45005731"/>
    <w:rsid w:val="49997A26"/>
    <w:rsid w:val="4A050C18"/>
    <w:rsid w:val="4F3F2E1E"/>
    <w:rsid w:val="534E1B19"/>
    <w:rsid w:val="567457B2"/>
    <w:rsid w:val="5A117165"/>
    <w:rsid w:val="633C1534"/>
    <w:rsid w:val="64F16511"/>
    <w:rsid w:val="666920D7"/>
    <w:rsid w:val="682668A4"/>
    <w:rsid w:val="6CAE2F39"/>
    <w:rsid w:val="74793E2D"/>
    <w:rsid w:val="775D17E4"/>
    <w:rsid w:val="7AB75A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1700</Words>
  <Characters>2321</Characters>
  <Lines>0</Lines>
  <Paragraphs>0</Paragraphs>
  <TotalTime>317</TotalTime>
  <ScaleCrop>false</ScaleCrop>
  <LinksUpToDate>false</LinksUpToDate>
  <CharactersWithSpaces>2408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2026-09-21T03:49:00Z</dcterms:created>
  <dc:creator>Administrator</dc:creator>
  <cp:lastModifiedBy>Administrator</cp:lastModifiedBy>
  <dcterms:modified xsi:type="dcterms:W3CDTF">2026-10-08T07:32:08Z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KSOTemplateDocerSaveRecord">
    <vt:lpwstr>eyJoZGlkIjoiNjgzNzcwZTliYTI5MWU2MTg0MmM2YTdkYzI0MTY5YzMiLCJ1c2VySWQiOiIxODYwMzI4NDE1In0=</vt:lpwstr>
  </property>
  <property fmtid="{D5CDD505-2E9C-101B-9397-08002B2CF9AE}" pid="4" name="ICV">
    <vt:lpwstr>DDDCE1DF2D944733914514F687322E7F_12</vt:lpwstr>
  </property>
</Properties>
</file>